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t xml:space="preserve"> </w:t>
      </w:r>
      <w:r>
        <w:rPr>
          <w:rFonts w:ascii="Times New Roman" w:hAnsi="Times New Roman" w:eastAsia="Times New Roman" w:cs="Times New Roman"/>
          <w:color w:val="000000"/>
          <w:sz w:val="20"/>
        </w:rPr>
        <w:t xml:space="preserve"> </w:t>
      </w:r>
      <w:r/>
    </w:p>
    <w:p>
      <w:pPr>
        <w:ind w:left="0" w:right="0" w:firstLine="0"/>
        <w:jc w:val="center"/>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竞争性磋商文件</w:t>
      </w:r>
      <w:r/>
    </w:p>
    <w:p>
      <w:pPr>
        <w:ind w:left="0" w:right="0" w:firstLine="2249"/>
        <w:jc w:val="center"/>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jc w:val="center"/>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2249"/>
        <w:jc w:val="center"/>
        <w:spacing w:before="120" w:after="120" w:line="360" w:lineRule="auto"/>
        <w:shd w:val="clear" w:color="ffffff" w:fill="ffffff"/>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r>
      <w:r>
        <w:rPr>
          <w:rFonts w:ascii="Times New Roman" w:hAnsi="Times New Roman" w:eastAsia="Times New Roman" w:cs="Times New Roman"/>
          <w:color w:val="000000"/>
          <w:sz w:val="20"/>
          <w:highlight w:val="none"/>
        </w:rPr>
      </w:r>
      <w:r/>
    </w:p>
    <w:p>
      <w:pPr>
        <w:ind w:left="0" w:right="0" w:firstLine="2249"/>
        <w:jc w:val="center"/>
        <w:spacing w:before="120" w:after="120" w:line="360" w:lineRule="auto"/>
        <w:shd w:val="clear" w:color="ffffff" w:fill="ffffff"/>
        <w:rPr>
          <w:rFonts w:ascii="Times New Roman" w:hAnsi="Times New Roman" w:eastAsia="Times New Roman" w:cs="Times New Roman"/>
          <w:color w:val="000000"/>
          <w:sz w:val="20"/>
          <w:szCs w:val="20"/>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szCs w:val="20"/>
          <w:highlight w:val="none"/>
        </w:rPr>
      </w:r>
      <w:r>
        <w:rPr>
          <w:rFonts w:ascii="Times New Roman" w:hAnsi="Times New Roman" w:eastAsia="Times New Roman" w:cs="Times New Roman"/>
          <w:color w:val="000000"/>
          <w:sz w:val="20"/>
          <w:szCs w:val="20"/>
          <w:highlight w:val="none"/>
        </w:rPr>
      </w:r>
      <w:r/>
    </w:p>
    <w:p>
      <w:pPr>
        <w:ind w:left="0" w:right="0" w:firstLine="2249"/>
        <w:jc w:val="center"/>
        <w:spacing w:before="120" w:after="120" w:line="360" w:lineRule="auto"/>
        <w:shd w:val="clear" w:color="ffffff" w:fill="ffffff"/>
        <w:rPr>
          <w:rFonts w:ascii="Times New Roman" w:hAnsi="Times New Roman" w:eastAsia="Times New Roman" w:cs="Times New Roman"/>
          <w:color w:val="000000"/>
          <w:sz w:val="20"/>
          <w:szCs w:val="20"/>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r>
      <w:r>
        <w:rPr>
          <w:rFonts w:ascii="Times New Roman" w:hAnsi="Times New Roman" w:eastAsia="Times New Roman" w:cs="Times New Roman"/>
          <w:color w:val="000000"/>
          <w:sz w:val="20"/>
          <w:highlight w:val="none"/>
        </w:rPr>
      </w:r>
      <w:r/>
    </w:p>
    <w:p>
      <w:pPr>
        <w:ind w:left="0" w:right="0" w:firstLine="2249"/>
        <w:jc w:val="center"/>
        <w:spacing w:before="120" w:after="120" w:line="360" w:lineRule="auto"/>
        <w:shd w:val="clear" w:color="ffffff" w:fill="ffffff"/>
        <w:rPr>
          <w:rFonts w:ascii="Times New Roman" w:hAnsi="Times New Roman" w:eastAsia="Times New Roman" w:cs="Times New Roman"/>
          <w:color w:val="000000"/>
          <w:sz w:val="20"/>
          <w:szCs w:val="20"/>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2249"/>
        <w:jc w:val="center"/>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2249"/>
        <w:jc w:val="center"/>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b/>
          <w:color w:val="000000"/>
          <w:sz w:val="32"/>
        </w:rPr>
        <w:t xml:space="preserve"> </w:t>
      </w:r>
      <w:r>
        <w:rPr>
          <w:rFonts w:ascii="Times New Roman" w:hAnsi="Times New Roman" w:eastAsia="Times New Roman" w:cs="Times New Roman"/>
          <w:sz w:val="20"/>
        </w:rPr>
      </w:r>
      <w:r/>
    </w:p>
    <w:p>
      <w:pPr>
        <w:ind w:left="0" w:right="0" w:firstLine="0"/>
        <w:spacing w:before="120" w:after="120" w:line="360" w:lineRule="auto"/>
        <w:shd w:val="clear" w:color="ffffff" w:fill="ffffff"/>
        <w:rPr>
          <w:rFonts w:ascii="SimSun" w:hAnsi="SimSun" w:eastAsia="SimSun" w:cs="SimSun"/>
          <w:b/>
          <w:bCs/>
          <w:color w:val="000000"/>
          <w:sz w:val="32"/>
          <w:szCs w:val="32"/>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项目名称：</w:t>
      </w:r>
      <w:r>
        <w:rPr>
          <w:rFonts w:ascii="SimSun" w:hAnsi="SimSun" w:eastAsia="SimSun" w:cs="SimSun"/>
          <w:b/>
          <w:bCs/>
          <w:color w:val="000000"/>
          <w:sz w:val="32"/>
          <w:szCs w:val="32"/>
          <w:u w:val="single"/>
        </w:rPr>
        <w:t xml:space="preserve">海陵区综治中心平台</w:t>
      </w:r>
      <w:r>
        <w:rPr>
          <w:rFonts w:ascii="SimSun" w:hAnsi="SimSun" w:eastAsia="SimSun" w:cs="SimSun"/>
          <w:b/>
          <w:bCs/>
          <w:color w:val="000000"/>
          <w:sz w:val="32"/>
          <w:szCs w:val="32"/>
          <w:u w:val="single"/>
        </w:rPr>
        <w:t xml:space="preserve">升级</w:t>
      </w:r>
      <w:r>
        <w:rPr>
          <w:rFonts w:ascii="SimSun" w:hAnsi="SimSun" w:eastAsia="SimSun" w:cs="SimSun"/>
          <w:b/>
          <w:bCs/>
          <w:color w:val="000000"/>
          <w:sz w:val="32"/>
          <w:szCs w:val="32"/>
          <w:u w:val="single"/>
        </w:rPr>
        <w:t xml:space="preserve">    </w:t>
      </w:r>
      <w:r>
        <w:rPr>
          <w:rFonts w:ascii="SimSun" w:hAnsi="SimSun" w:eastAsia="SimSun" w:cs="SimSun"/>
          <w:b/>
          <w:bCs/>
          <w:color w:val="000000"/>
          <w:sz w:val="32"/>
          <w:szCs w:val="32"/>
          <w:u w:val="single"/>
        </w:rPr>
      </w:r>
      <w:r/>
    </w:p>
    <w:p>
      <w:pPr>
        <w:ind w:left="0" w:right="0" w:firstLine="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项目编号：</w:t>
      </w:r>
      <w:r>
        <w:rPr>
          <w:rFonts w:ascii="SimSun" w:hAnsi="SimSun" w:eastAsia="SimSun" w:cs="SimSun"/>
          <w:b/>
          <w:bCs/>
          <w:color w:val="000000"/>
          <w:sz w:val="32"/>
          <w:szCs w:val="32"/>
          <w:u w:val="single"/>
        </w:rPr>
        <w:t xml:space="preserve">JSZC-321202-JZCG-C2025-0035</w:t>
      </w:r>
      <w:r>
        <w:rPr>
          <w:rFonts w:ascii="Arial" w:hAnsi="Arial" w:eastAsia="Arial" w:cs="Arial"/>
          <w:b/>
          <w:color w:val="000000"/>
          <w:sz w:val="32"/>
        </w:rPr>
        <w:t xml:space="preserve">          </w:t>
      </w:r>
      <w:r/>
    </w:p>
    <w:p>
      <w:pPr>
        <w:ind w:left="0" w:right="0" w:firstLine="1470"/>
        <w:jc w:val="center"/>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360" w:lineRule="auto"/>
        <w:shd w:val="clear" w:color="ffffff" w:fill="ffffff"/>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泰州市海陵区政务服务中心</w:t>
      </w:r>
      <w:r/>
    </w:p>
    <w:p>
      <w:pPr>
        <w:ind w:left="0" w:right="0" w:firstLine="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Arial" w:hAnsi="Arial" w:eastAsia="Arial" w:cs="Arial"/>
          <w:color w:val="000000"/>
          <w:sz w:val="32"/>
        </w:rPr>
        <w:t xml:space="preserve">2025</w:t>
      </w:r>
      <w:r>
        <w:rPr>
          <w:rFonts w:ascii="SimSun" w:hAnsi="SimSun" w:eastAsia="SimSun" w:cs="SimSun"/>
          <w:b/>
          <w:color w:val="000000"/>
          <w:sz w:val="32"/>
        </w:rPr>
        <w:t xml:space="preserve">年11月19日</w:t>
        <w:br w:type="page" w:clear="all"/>
      </w:r>
      <w:r/>
    </w:p>
    <w:p>
      <w:pPr>
        <w:ind w:left="0" w:right="0" w:firstLine="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总  目  录</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360" w:lineRule="auto"/>
        <w:shd w:val="clear" w:color="ffffff" w:fill="ffffff"/>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磋商邀请…………………………………… </w:t>
      </w:r>
      <w:r/>
    </w:p>
    <w:p>
      <w:pPr>
        <w:numPr>
          <w:ilvl w:val="0"/>
          <w:numId w:val="1"/>
        </w:numPr>
        <w:jc w:val="both"/>
        <w:spacing w:before="0" w:after="0" w:line="360" w:lineRule="auto"/>
        <w:shd w:val="clear" w:color="ffffff" w:fill="ffffff"/>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  </w:t>
      </w:r>
      <w:r/>
    </w:p>
    <w:p>
      <w:pPr>
        <w:numPr>
          <w:ilvl w:val="0"/>
          <w:numId w:val="1"/>
        </w:numPr>
        <w:jc w:val="both"/>
        <w:spacing w:before="0" w:after="0" w:line="360" w:lineRule="auto"/>
        <w:shd w:val="clear" w:color="ffffff" w:fill="ffffff"/>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360" w:lineRule="auto"/>
        <w:shd w:val="clear" w:color="ffffff" w:fill="ffffff"/>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360" w:lineRule="auto"/>
        <w:shd w:val="clear" w:color="ffffff" w:fill="ffffff"/>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w:t>
      </w:r>
      <w:r/>
    </w:p>
    <w:p>
      <w:pPr>
        <w:numPr>
          <w:ilvl w:val="0"/>
          <w:numId w:val="1"/>
        </w:numPr>
        <w:jc w:val="both"/>
        <w:spacing w:before="0" w:after="0" w:line="360" w:lineRule="auto"/>
        <w:shd w:val="clear" w:color="ffffff" w:fill="ffffff"/>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br w:type="page" w:clear="all"/>
      </w:r>
      <w:r>
        <w:rPr>
          <w:rFonts w:ascii="Microsoft YaHei" w:hAnsi="Microsoft YaHei" w:eastAsia="Microsoft YaHei" w:cs="Microsoft YaHei"/>
          <w:sz w:val="24"/>
        </w:rPr>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磋商邀请</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shd w:val="clear" w:color="ffffff" w:fill="ffffff"/>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受[</w:t>
      </w:r>
      <w:r>
        <w:rPr>
          <w:rFonts w:ascii="SimSun" w:hAnsi="SimSun" w:eastAsia="SimSun" w:cs="SimSun"/>
          <w:color w:val="000000"/>
          <w:sz w:val="24"/>
          <w:szCs w:val="24"/>
        </w:rPr>
        <w:t xml:space="preserve">中共泰州市海陵区委政法委员会</w:t>
      </w:r>
      <w:r>
        <w:rPr>
          <w:rFonts w:ascii="SimSun" w:hAnsi="SimSun" w:eastAsia="SimSun" w:cs="SimSun"/>
          <w:color w:val="000000"/>
          <w:sz w:val="24"/>
          <w:szCs w:val="24"/>
        </w:rPr>
        <w:t xml:space="preserve">]的委托，泰州市海陵区政务服务中心就[</w:t>
      </w:r>
      <w:r>
        <w:rPr>
          <w:rFonts w:ascii="SimSun" w:hAnsi="SimSun" w:eastAsia="SimSun" w:cs="SimSun"/>
          <w:color w:val="000000"/>
          <w:sz w:val="24"/>
          <w:szCs w:val="24"/>
        </w:rPr>
        <w:t xml:space="preserve">海陵区综治中心平台升级</w:t>
      </w:r>
      <w:r>
        <w:rPr>
          <w:rFonts w:ascii="SimSun" w:hAnsi="SimSun" w:eastAsia="SimSun" w:cs="SimSun"/>
          <w:color w:val="000000"/>
          <w:sz w:val="24"/>
          <w:szCs w:val="24"/>
        </w:rPr>
        <w:t xml:space="preserve">]([</w:t>
      </w:r>
      <w:r>
        <w:rPr>
          <w:rFonts w:ascii="SimSun" w:hAnsi="SimSun" w:eastAsia="SimSun" w:cs="SimSun"/>
          <w:color w:val="000000"/>
          <w:sz w:val="24"/>
          <w:szCs w:val="24"/>
        </w:rPr>
        <w:t xml:space="preserve">JSZC-321202-JZCG-C2025-0035</w:t>
      </w:r>
      <w:r>
        <w:rPr>
          <w:rFonts w:ascii="SimSun" w:hAnsi="SimSun" w:eastAsia="SimSun" w:cs="SimSun"/>
          <w:color w:val="000000"/>
          <w:sz w:val="24"/>
          <w:szCs w:val="24"/>
        </w:rPr>
        <w:t xml:space="preserve">])进行竞争性磋商采购，欢迎符合条件的供应商参加磋商。</w:t>
      </w:r>
      <w:r>
        <w:rPr>
          <w:rFonts w:ascii="SimSun" w:hAnsi="SimSun" w:eastAsia="SimSun" w:cs="SimSun"/>
          <w:color w:val="000000"/>
          <w:sz w:val="24"/>
          <w:szCs w:val="24"/>
        </w:rPr>
      </w:r>
      <w:r/>
    </w:p>
    <w:p>
      <w:pPr>
        <w:ind w:left="0" w:right="0" w:firstLine="480"/>
        <w:jc w:val="both"/>
        <w:spacing w:before="0" w:after="0" w:line="360" w:lineRule="auto"/>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360" w:lineRule="auto"/>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szCs w:val="24"/>
          <w:u w:val="single"/>
        </w:rPr>
        <w:t xml:space="preserve"> (</w:t>
      </w:r>
      <w:r>
        <w:rPr>
          <w:rFonts w:ascii="SimSun" w:hAnsi="SimSun" w:eastAsia="SimSun" w:cs="SimSun"/>
          <w:color w:val="000000"/>
          <w:sz w:val="24"/>
          <w:szCs w:val="24"/>
          <w:u w:val="single"/>
        </w:rPr>
        <w:t xml:space="preserve">海陵区综治中心平台升级</w:t>
      </w:r>
      <w:r>
        <w:rPr>
          <w:rFonts w:ascii="SimSun" w:hAnsi="SimSun" w:eastAsia="SimSun" w:cs="SimSun"/>
          <w:color w:val="000000"/>
          <w:sz w:val="24"/>
          <w:szCs w:val="24"/>
          <w:u w:val="single"/>
        </w:rPr>
        <w:t xml:space="preserve">)</w:t>
      </w:r>
      <w:r>
        <w:rPr>
          <w:rFonts w:ascii="SimSun" w:hAnsi="SimSun" w:eastAsia="SimSun" w:cs="SimSun"/>
          <w:color w:val="000000"/>
          <w:sz w:val="24"/>
        </w:rPr>
        <w:t xml:space="preserve">竞争性磋商项目的潜在供应商可在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磋商文件，并于</w:t>
      </w:r>
      <w:r>
        <w:rPr>
          <w:rFonts w:ascii="SimSun" w:hAnsi="SimSun" w:eastAsia="SimSun" w:cs="SimSun"/>
          <w:color w:val="000000"/>
          <w:sz w:val="24"/>
          <w:u w:val="single"/>
        </w:rPr>
        <w:t xml:space="preserve"> 2025年12月1日14点30分（</w:t>
      </w:r>
      <w:r>
        <w:rPr>
          <w:rFonts w:ascii="SimSun" w:hAnsi="SimSun" w:eastAsia="SimSun" w:cs="SimSun"/>
          <w:color w:val="000000"/>
          <w:sz w:val="24"/>
        </w:rPr>
        <w:t xml:space="preserve">北京时间）前递交响应文件。</w:t>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360" w:lineRule="auto"/>
        <w:shd w:val="clear" w:color="ffffff" w:fill="ffffff"/>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1.项目编号：</w:t>
      </w:r>
      <w:r>
        <w:rPr>
          <w:rFonts w:ascii="SimSun" w:hAnsi="SimSun" w:eastAsia="SimSun" w:cs="SimSun"/>
          <w:color w:val="000000"/>
          <w:sz w:val="24"/>
          <w:szCs w:val="24"/>
        </w:rPr>
        <w:t xml:space="preserve">JSZC-321202-JZCG-C2025-0035</w:t>
      </w:r>
      <w:r>
        <w:rPr>
          <w:rFonts w:ascii="SimSun" w:hAnsi="SimSun" w:eastAsia="SimSun" w:cs="SimSun"/>
          <w:color w:val="000000"/>
          <w:sz w:val="24"/>
          <w:szCs w:val="24"/>
        </w:rPr>
      </w:r>
      <w:r/>
    </w:p>
    <w:p>
      <w:pPr>
        <w:ind w:left="0" w:right="0" w:firstLine="480"/>
        <w:jc w:val="both"/>
        <w:spacing w:before="0" w:after="0" w:line="360" w:lineRule="auto"/>
        <w:shd w:val="clear" w:color="ffffff" w:fill="ffffff"/>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2.项目名称：</w:t>
      </w:r>
      <w:r>
        <w:rPr>
          <w:rFonts w:ascii="SimSun" w:hAnsi="SimSun" w:eastAsia="SimSun" w:cs="SimSun"/>
          <w:color w:val="000000"/>
          <w:sz w:val="24"/>
          <w:szCs w:val="24"/>
        </w:rPr>
        <w:t xml:space="preserve">海陵区综治中心平台升级</w:t>
      </w:r>
      <w:r>
        <w:rPr>
          <w:rFonts w:ascii="SimSun" w:hAnsi="SimSun" w:eastAsia="SimSun" w:cs="SimSun"/>
          <w:color w:val="000000"/>
          <w:sz w:val="24"/>
          <w:szCs w:val="24"/>
        </w:rPr>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3.预算金额：110万元。</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4.采购需求（简介）：</w:t>
      </w:r>
      <w:r>
        <w:rPr>
          <w:rFonts w:ascii="SimSun" w:hAnsi="SimSun" w:eastAsia="SimSun" w:cs="SimSun"/>
          <w:color w:val="000000"/>
          <w:sz w:val="24"/>
        </w:rPr>
        <w:t xml:space="preserve">为保障提升海陵区综治中心平台社会治安综合治理研判分析能力，海陵区综治中心需要以集约化、平台化途径建设，围绕汇聚、归集、贯通、感知、驾驶、处办、指挥、考核等平台运行的核心业务需求，结合目前业务现状及时下迫切的、可行的业务需求，进行务实的、统筹的需求规划和设计。（详细内容见本磋商文件第四章）</w:t>
      </w:r>
      <w:r>
        <w:rPr>
          <w:rFonts w:ascii="SimSun" w:hAnsi="SimSun" w:eastAsia="SimSun" w:cs="SimSun"/>
          <w:color w:val="000000"/>
          <w:sz w:val="24"/>
        </w:rPr>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w:t>
      </w:r>
      <w:r>
        <w:rPr>
          <w:rFonts w:ascii="SimSun" w:hAnsi="SimSun" w:eastAsia="SimSun" w:cs="SimSun"/>
          <w:color w:val="000000"/>
          <w:sz w:val="24"/>
        </w:rPr>
        <w:t xml:space="preserve">两年（其中项目建设期30日历天）</w:t>
      </w:r>
      <w:r>
        <w:rPr>
          <w:rFonts w:ascii="SimSun" w:hAnsi="SimSun" w:eastAsia="SimSun" w:cs="SimSun"/>
          <w:color w:val="000000"/>
          <w:sz w:val="24"/>
        </w:rPr>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4.联合体参与磋商：本项目不接受联合体参与磋商。</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本项目无特定资格要求。</w:t>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54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1.时间：自磋商文件公告发布之日起至提交响应文件截止之日止。</w:t>
      </w:r>
      <w:r/>
    </w:p>
    <w:p>
      <w:pPr>
        <w:ind w:left="0" w:right="0" w:firstLine="54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1.2025年12月1日14点30分</w:t>
      </w:r>
      <w:r>
        <w:rPr>
          <w:rFonts w:ascii="SimSun" w:hAnsi="SimSun" w:eastAsia="SimSun" w:cs="SimSun"/>
          <w:color w:val="000000"/>
          <w:sz w:val="24"/>
        </w:rPr>
        <w:t xml:space="preserve">（北京时间）。</w:t>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磋商公告及磋商文件公告期限为自本公告发布之日起3个工作日。</w:t>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技术支持电话：0523-87633965、0523-86897512</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客服QQ：709339244、1195486789 </w:t>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1.采购人信息</w:t>
      </w:r>
      <w:r/>
    </w:p>
    <w:p>
      <w:pPr>
        <w:ind w:left="0" w:right="0" w:firstLine="720"/>
        <w:jc w:val="both"/>
        <w:spacing w:before="0" w:after="0" w:line="360" w:lineRule="auto"/>
        <w:shd w:val="clear" w:color="ffffff" w:fill="ffffff"/>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名 称：</w:t>
      </w:r>
      <w:r>
        <w:rPr>
          <w:rFonts w:ascii="SimSun" w:hAnsi="SimSun" w:eastAsia="SimSun" w:cs="SimSun"/>
          <w:color w:val="000000"/>
          <w:sz w:val="24"/>
          <w:szCs w:val="24"/>
          <w:u w:val="single"/>
        </w:rPr>
        <w:t xml:space="preserve">中共泰州市海陵区委政法委员会</w:t>
      </w:r>
      <w:r>
        <w:rPr>
          <w:rFonts w:ascii="SimSun" w:hAnsi="SimSun" w:eastAsia="SimSun" w:cs="SimSun"/>
          <w:color w:val="000000"/>
          <w:sz w:val="24"/>
          <w:szCs w:val="24"/>
          <w:u w:val="single"/>
        </w:rPr>
      </w:r>
      <w:r/>
    </w:p>
    <w:p>
      <w:pPr>
        <w:ind w:left="0" w:right="0" w:firstLine="720"/>
        <w:jc w:val="both"/>
        <w:spacing w:before="0" w:after="0" w:line="360" w:lineRule="auto"/>
        <w:shd w:val="clear" w:color="ffffff" w:fill="ffffff"/>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w:t>
      </w:r>
      <w:r>
        <w:rPr>
          <w:rFonts w:ascii="SimSun" w:hAnsi="SimSun" w:eastAsia="SimSun" w:cs="SimSun"/>
          <w:color w:val="000000"/>
          <w:sz w:val="24"/>
          <w:szCs w:val="24"/>
          <w:u w:val="single"/>
        </w:rPr>
        <w:t xml:space="preserve">人民东路26号</w:t>
      </w:r>
      <w:r>
        <w:rPr>
          <w:rFonts w:ascii="SimSun" w:hAnsi="SimSun" w:eastAsia="SimSun" w:cs="SimSun"/>
          <w:color w:val="000000"/>
          <w:sz w:val="24"/>
          <w:szCs w:val="24"/>
          <w:u w:val="single"/>
        </w:rPr>
      </w:r>
      <w:r/>
    </w:p>
    <w:p>
      <w:pPr>
        <w:ind w:left="0" w:right="0" w:firstLine="720"/>
        <w:jc w:val="both"/>
        <w:spacing w:before="0" w:after="0" w:line="360" w:lineRule="auto"/>
        <w:shd w:val="clear" w:color="ffffff" w:fill="ffffff"/>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联系人：</w:t>
      </w:r>
      <w:r>
        <w:rPr>
          <w:rFonts w:ascii="SimSun" w:hAnsi="SimSun" w:eastAsia="SimSun" w:cs="SimSun"/>
          <w:color w:val="000000"/>
          <w:sz w:val="24"/>
          <w:szCs w:val="24"/>
          <w:u w:val="single"/>
        </w:rPr>
        <w:t xml:space="preserve">徐</w:t>
      </w:r>
      <w:r>
        <w:rPr>
          <w:rFonts w:ascii="SimSun" w:hAnsi="SimSun" w:eastAsia="SimSun" w:cs="SimSun"/>
          <w:color w:val="000000"/>
          <w:sz w:val="24"/>
          <w:szCs w:val="24"/>
          <w:u w:val="single"/>
        </w:rPr>
        <w:t xml:space="preserve">先生</w:t>
      </w:r>
      <w:r>
        <w:rPr>
          <w:rFonts w:ascii="SimSun" w:hAnsi="SimSun" w:eastAsia="SimSun" w:cs="SimSun"/>
          <w:color w:val="000000"/>
          <w:sz w:val="24"/>
          <w:szCs w:val="24"/>
          <w:u w:val="single"/>
        </w:rPr>
      </w:r>
      <w:r/>
    </w:p>
    <w:p>
      <w:pPr>
        <w:ind w:left="0" w:right="0" w:firstLine="720"/>
        <w:jc w:val="both"/>
        <w:spacing w:before="0" w:after="0" w:line="360" w:lineRule="auto"/>
        <w:shd w:val="clear" w:color="ffffff" w:fill="ffffff"/>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联系方式：</w:t>
      </w:r>
      <w:r>
        <w:rPr>
          <w:rFonts w:ascii="SimSun" w:hAnsi="SimSun" w:eastAsia="SimSun" w:cs="SimSun"/>
          <w:color w:val="000000"/>
          <w:sz w:val="24"/>
          <w:szCs w:val="24"/>
          <w:u w:val="single"/>
        </w:rPr>
        <w:t xml:space="preserve">15261013787</w:t>
      </w:r>
      <w:r>
        <w:rPr>
          <w:rFonts w:ascii="SimSun" w:hAnsi="SimSun" w:eastAsia="SimSun" w:cs="SimSun"/>
          <w:color w:val="000000"/>
          <w:sz w:val="24"/>
          <w:szCs w:val="24"/>
          <w:u w:val="single"/>
        </w:rPr>
      </w:r>
      <w:r/>
    </w:p>
    <w:p>
      <w:pPr>
        <w:ind w:left="300" w:right="0" w:hanging="30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2.泰州市海陵区政务服务中心信息</w:t>
      </w:r>
      <w:r/>
    </w:p>
    <w:p>
      <w:pPr>
        <w:ind w:left="0" w:right="0" w:firstLine="7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泰州市海陵区沈毅中学（海陵区政务服务中心临时办事点）</w:t>
      </w:r>
      <w:r/>
    </w:p>
    <w:p>
      <w:pPr>
        <w:ind w:left="0" w:right="0" w:firstLine="7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阚女士       </w:t>
      </w:r>
      <w:r/>
    </w:p>
    <w:p>
      <w:pPr>
        <w:ind w:left="0" w:right="0" w:firstLine="7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0523-86242503</w:t>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w:t>
      </w:r>
      <w:r>
        <w:rPr>
          <w:rFonts w:ascii="SimSun" w:hAnsi="SimSun" w:eastAsia="SimSun" w:cs="SimSun"/>
          <w:color w:val="000000"/>
          <w:sz w:val="24"/>
        </w:rPr>
        <w:t xml:space="preserve">633ce9.html。</w:t>
      </w:r>
      <w:r/>
    </w:p>
    <w:p>
      <w:pPr>
        <w:ind w:left="0" w:right="0" w:firstLine="482"/>
        <w:jc w:val="both"/>
        <w:spacing w:before="0" w:after="0"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泰州市高港区泰州大道388号（原中国医药城会展服务中心W3馆西南角）公共资源服务中心一楼大厅6号窗口办理，具体联系方式见《苏采云系统供应商操作手册》（以下简称《操作手册》））、进行注册并按《操作手册》要求制作、上传电子响应文件。</w:t>
      </w:r>
      <w:r/>
    </w:p>
    <w:p>
      <w:pPr>
        <w:ind w:left="0" w:right="0" w:firstLine="480"/>
        <w:jc w:val="both"/>
        <w:spacing w:before="0" w:after="0"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有关本次磋商的事项若存在变动或修改，敬请及时关注泰州市海陵区政务服务中心在“江苏政府采购网”发布的更正公告。</w:t>
      </w:r>
      <w:r/>
    </w:p>
    <w:p>
      <w:pPr>
        <w:ind w:left="0" w:right="0" w:firstLine="480"/>
        <w:jc w:val="both"/>
        <w:spacing w:before="0" w:after="0"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本次磋商不收取磋商保证金。</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br w:type="page" w:clear="all"/>
      </w:r>
      <w:r>
        <w:rPr>
          <w:rFonts w:ascii="Microsoft YaHei" w:hAnsi="Microsoft YaHei" w:eastAsia="Microsoft YaHei" w:cs="Microsoft YaHei"/>
          <w:sz w:val="24"/>
        </w:rPr>
      </w:r>
      <w:r/>
    </w:p>
    <w:p>
      <w:pPr>
        <w:ind w:left="0" w:right="0" w:firstLine="0"/>
        <w:jc w:val="center"/>
        <w:spacing w:before="260" w:after="26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  供应商须知</w:t>
      </w:r>
      <w:r/>
    </w:p>
    <w:p>
      <w:pPr>
        <w:ind w:left="0" w:right="0" w:firstLine="498"/>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满足本磋商文件实质性要求的规定。</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、磋商费用</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4.1供应商应自行承担所有与参加本次磋商有关的费用，无论磋商过程中的做法和结果如何，泰州市海陵区政务服务中心（以下简称服务中心）在任何情况下均无义务和责任承担这些费用。</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4.2本次磋商服务中心和采购人不收取标书工本费与成交服务费。</w:t>
      </w:r>
      <w:r/>
    </w:p>
    <w:p>
      <w:pPr>
        <w:ind w:left="0" w:right="0" w:firstLine="301"/>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磋商文件的约束力</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、磋商文件构成</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请仔细检查磋商文件是否齐全，如有缺漏请立即与服务中心联系解决。</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、磋商文件的澄清</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任何要求对磋商文件进行澄清的供应商，应在磋商截止期5日前按磋商公告中的通讯地址，以书面形式通知服务中心。</w:t>
      </w:r>
      <w:r/>
    </w:p>
    <w:p>
      <w:pPr>
        <w:ind w:left="0" w:right="0" w:firstLine="5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、磋商文件的澄清和修改</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在响应文件提交截止时间前，服务中心可以对磋商文件进行澄清和修改,</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澄清或者修改的内容作为磋商文件的组成部分。澄清或者修改的内容可能影响响应文件编制的，服务中心将在提交首次响应文件截止时间至少5日前，在“江苏政府采购网”上发布书面更正公告形式通知所有获取磋商文件的供应商,</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更正公告内容将作为磋商文件的组成部分，并对供应商具有约束力。不足5日的，服务中心将顺延提交首次响应文件截止时间。</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8.2服务中心可以视采购项目的具体情况，组织供应商进行现场考察或召开磋商前答疑会，但不单独或分别组织只有一个供应商参加的现场考察和答疑会。</w:t>
      </w:r>
      <w:r/>
    </w:p>
    <w:p>
      <w:pPr>
        <w:ind w:left="0" w:right="0" w:firstLine="482"/>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9.1供应商提交的响应文件以及供应商与服务中心就有关磋商的所有来往通知、函件和文件均应使用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10.1供应商编写的响应文件应包括资格证明文件、实质性要求响应及偏离表、分项报价表、技术要求响应及偏离表、商务要求响应及偏离表、其他证明文件、磋商响应函等部分。</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如标书制作工具中格式和内容与“江苏政府采购网”发布的磋商文件不一致，请以“江苏政府采购网”发布的磋商文件为准。</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、证明磋商响应标的符合磋商文件规定的文件</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13.2供应商需按照磋商文件要求，在响应文件中提供与技术要求和商务要求相关的证明材料。</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、磋商响应函</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、磋商有效期</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16.1磋商有效期为服务中心规定的提交响应文件截止之日后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、磋商有效期的延长</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服务中心于原磋商有效期满之前，可向供应商提出延长磋商有效期的要求。这种要求与答复均应采用书面形式。供应商可以拒绝服务中心的这一要求而放弃磋商，同意延长磋商有效期的供应商既不能要求也不允许修改其响应文件。受磋商有效期约束的所有权利与义务均延长至新的有效期。</w:t>
      </w:r>
      <w:r/>
    </w:p>
    <w:p>
      <w:pPr>
        <w:ind w:left="0" w:right="0" w:firstLine="482"/>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、电子磋商响应文件的递交</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19.1供应商上传电子响应文件的时间不得迟于磋商公告中规定的提交响应文件截止时间。</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服务中心可以按照规定，通过修改磋商文件酌情延长提交响应文件截止日期，在此情况下，供应商的所有权利和义务以及供应商受制的截止日期均应以延长后新的截止日期为准。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服务中心拒绝接收在其规定的提交响应文件截止时间后上传的任何电子响应文件。</w:t>
      </w:r>
      <w:r/>
    </w:p>
    <w:p>
      <w:pPr>
        <w:ind w:left="0" w:right="0" w:firstLine="42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21.4在提交响应文件截止时间至磋商文件中规定的磋商有效期满之间的这段时间内，供应商不得撤回其响应文件。</w:t>
      </w:r>
      <w:r/>
    </w:p>
    <w:p>
      <w:pPr>
        <w:ind w:left="0" w:right="0" w:firstLine="482"/>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3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、磋商小组</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23.1服务中心将组织磋商小组对响应文件进行评审。磋商小组由采购人代表和有关技术、经济等方面的专家组成，且人员构成符合政府采购有关规定。</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42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24.1磋商小组、采购人和服务中心工作人员、相关监督人员等与评审工作有关的人员，对评审情况以及在评审过程中获悉的国家秘密、商业秘密负有保密责任。</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24.3在项目评审期间，服务中心将设专门人员与供应商联系。</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服务中心和磋商小组不向未成交的供应商解释未成交原因，也不公布评审过程中的相关细节。</w:t>
      </w:r>
      <w:r/>
    </w:p>
    <w:p>
      <w:pPr>
        <w:ind w:left="0" w:right="0" w:firstLine="42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25"/>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5"/>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25.3接到磋商小组澄清、说明和更正要求的供应商如未按规定做出澄清、说明和 更正，其风险由供应商自行承担。</w:t>
      </w:r>
      <w:r/>
    </w:p>
    <w:p>
      <w:pPr>
        <w:ind w:left="0" w:right="0" w:firstLine="42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服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26.3.3供应商同一分包提交两个（含两个）以上不同的响应文件或者最后报价的。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26.3.6不符合磋商文件中规定的实质性要求的</w:t>
      </w:r>
      <w:r>
        <w:rPr>
          <w:rFonts w:ascii="SimSun" w:hAnsi="SimSun" w:eastAsia="SimSun" w:cs="SimSun"/>
          <w:i/>
          <w:color w:val="000000"/>
          <w:sz w:val="24"/>
          <w:u w:val="single"/>
        </w:rPr>
        <w:t xml:space="preserve">（本磋商文件中斜体且有下划线部分为实质性要求）。</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26.3.11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26.6供应商在项目评审全过程中应保持通讯畅通，并安排专人与服务中心及磋商小组联系。</w:t>
      </w:r>
      <w:r/>
    </w:p>
    <w:p>
      <w:pPr>
        <w:ind w:left="0" w:right="0" w:firstLine="42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、磋商程序及评审方法和评审标准</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2"/>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28、确定成交单位</w:t>
      </w:r>
      <w:r/>
    </w:p>
    <w:p>
      <w:pPr>
        <w:ind w:left="0" w:right="0" w:firstLine="478"/>
        <w:jc w:val="both"/>
        <w:spacing w:before="0" w:after="145" w:line="360" w:lineRule="auto"/>
        <w:shd w:val="clear" w:color="ffffff" w:fill="ffffff"/>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28.2采购人从评审报告提出的成交候选供应商中，按照排序由高到低的原则确定成交供应商。采购人确定成交供应商后，服务中心将在“江苏政府采购网”发布成交结果公告，公告期限为1个工作日。</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28.3.2与评审专家、采购人、其他供应商或者服务中心工作人员恶意串通的。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28.3.3向评审专家、采购人或服务中心工作人员行贿或者提供其他不正当利益的。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服务中心或采购人提出质疑。上述应知其权益受到损害之日，是指：</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b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29.2.3对成交结果提出质疑的，为成交结果公告期限届满之日。</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供应商应当在法定质疑期内一次性提出针对同一采购程序环节的质疑。供应商如在法定期限内对同一采购程序环节提出多次质疑的，服务中心、采购人将只对供应商第一次质疑作出答复。</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供应商对其他事项的询问、质疑请向服务中心提出，由服务中心负责答复。</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采购人及服务中心只接收以纸质原件形式送达的质疑,建议供应商尽量通过邮寄方式提交质疑（采购人和服务中心不接受无快递运单号的快递）。</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采购人质疑接收人及联系方式见本磋商文件第一章。</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服务中心有权依据政府采购的有关规定，报请政府采购监管部门对该供应商进行相应的行政处罚和记录该供应商的失信信息。</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服务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601"/>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33.1中标供应商可凭政府采购合同办理融资贷款，详情请见江苏政府采购网“政采贷”专栏。</w:t>
      </w:r>
      <w:r/>
    </w:p>
    <w:p>
      <w:pPr>
        <w:ind w:left="0" w:right="0" w:firstLine="601"/>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0" w:right="0" w:firstLine="601"/>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34、落实《商品包装政府采购需求标准（试行）》、《快递包装政府采购需求标准（试行）》的相关政策，商品包装和快递包装应符合文件要求。</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35、按照《绿色数据中心政府采购需求标准(试行)》（财库[2023]7号）文件要求执行。</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264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264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以下为成交后签定本项目合同的通用条款，成交供应商不得提出实质性的修改。</w:t>
      </w:r>
      <w:r/>
    </w:p>
    <w:p>
      <w:pPr>
        <w:ind w:left="0" w:right="0" w:firstLine="0"/>
        <w:jc w:val="center"/>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江苏省政府采购合同（合同编号）</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                                    </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甲、乙双方根据泰州市海陵区政务服务中心</w:t>
      </w:r>
      <w:r>
        <w:rPr>
          <w:rFonts w:ascii="SimSun" w:hAnsi="SimSun" w:eastAsia="SimSun" w:cs="SimSun"/>
          <w:color w:val="000000"/>
          <w:sz w:val="24"/>
          <w:u w:val="single"/>
        </w:rPr>
        <w:t xml:space="preserve">        </w:t>
      </w:r>
      <w:r>
        <w:rPr>
          <w:rFonts w:ascii="SimSun" w:hAnsi="SimSun" w:eastAsia="SimSun" w:cs="SimSun"/>
          <w:color w:val="000000"/>
          <w:sz w:val="24"/>
        </w:rPr>
        <w:t xml:space="preserve">项目竞争性磋商的结果，签署本合同。</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1.1标的名称：</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1.3标的数量（规模）：</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1.4履行时间（期限）：</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1.5履行地点：</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1.6履行方式：</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2.1本合同金额为（大写）：____________________________________圆（_______________元）人民币或其他币种。</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10" w:right="0" w:hanging="41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3.1乙方应按磋商文件规定的时间向甲方提供与合同标的有关的技术资料。</w:t>
      </w:r>
      <w:r/>
    </w:p>
    <w:p>
      <w:pPr>
        <w:ind w:left="410" w:right="0" w:hanging="41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08" w:right="0" w:hanging="408"/>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4.1乙方应保证甲方在使用、接受本合同标的或其任何一部分时不受第三方提出侵犯其专利权、版权、商标权和工业设计权等知识产权的起诉。一旦出现侵权，由乙方负全部责任。</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5.1乙方保证所交付的合同标的的所有权完全属于乙方且无任何抵押、查封等产权瑕疵。</w:t>
      </w:r>
      <w:r/>
    </w:p>
    <w:p>
      <w:pPr>
        <w:ind w:left="410" w:right="0" w:hanging="41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408" w:right="0" w:hanging="408"/>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6.1乙方交纳人民币_________元作为本合同的履约保证金。（不得超过合同金额的10%）</w:t>
      </w:r>
      <w:r/>
    </w:p>
    <w:p>
      <w:pPr>
        <w:ind w:left="408" w:right="0" w:hanging="408"/>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408" w:right="0" w:hanging="408"/>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w:t>
      </w:r>
      <w:r/>
    </w:p>
    <w:p>
      <w:pPr>
        <w:ind w:left="408" w:right="0" w:hanging="408"/>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w:t>
      </w:r>
      <w:r/>
    </w:p>
    <w:p>
      <w:pPr>
        <w:ind w:left="408" w:right="0" w:hanging="408"/>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408" w:right="0" w:hanging="408"/>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0" w:right="0" w:firstLine="0"/>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8.1预付款：签订合同后，支付合同总价45%。</w:t>
      </w:r>
      <w:r>
        <w:rPr>
          <w:rFonts w:ascii="SimSun" w:hAnsi="SimSun" w:eastAsia="SimSun" w:cs="SimSun"/>
          <w:color w:val="000000"/>
          <w:sz w:val="24"/>
          <w:szCs w:val="24"/>
        </w:rPr>
      </w:r>
      <w:r/>
    </w:p>
    <w:p>
      <w:pPr>
        <w:ind w:left="0" w:right="0" w:firstLine="0"/>
        <w:jc w:val="both"/>
        <w:spacing w:before="120" w:after="12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8.2尾款：正常试运行1个月后，通过甲方组织的验收，支付至合同金额的100%。</w:t>
      </w:r>
      <w:r>
        <w:rPr>
          <w:rFonts w:ascii="SimSun" w:hAnsi="SimSun" w:eastAsia="SimSun" w:cs="SimSun"/>
          <w:color w:val="000000"/>
          <w:sz w:val="24"/>
          <w:szCs w:val="24"/>
        </w:rPr>
      </w:r>
      <w:r/>
    </w:p>
    <w:p>
      <w:pPr>
        <w:ind w:left="0" w:right="0" w:firstLine="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对于满足合同约定支付条件的，采购人原则上应当自收到发票后10个工作日内将资金支付到合同约定的供应商账户。</w:t>
      </w:r>
      <w:r/>
    </w:p>
    <w:p>
      <w:pPr>
        <w:ind w:left="0" w:right="0" w:firstLine="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0"/>
        </w:rPr>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10.1甲方依法组织履约验收工作。</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410" w:right="0" w:hanging="41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11.1甲方无正当理由拒绝接受乙方提供的合同标的的，甲方向乙方偿付拒绝接受合同价款总值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410" w:right="0" w:hanging="41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410" w:right="0" w:hanging="41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410" w:right="0" w:hanging="41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乙方交付合同标的的标准不符合合同规定及磋商文件规定标准的，甲方有权拒绝接受合同标的，并可单方面解除合同。</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 期相同。</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12.2不可抗力事件发生后，应立即通知对方，并寄送有关权威机构出具的证明。</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12.3不可抗力事件延续120天以上，双方应通过友好协商，确定是否继续履行合同。</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14.1合同经双方法定代表人或授权委托代表人签字并加盖单位公章后生效。</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14.2本合同未尽事宜，遵照中华人民共和国现行法律法规有关条文执行。</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本合同正本一式三份，具有同等法律效力，甲方、乙方及财政监管部门各执一份。</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240"/>
        <w:jc w:val="both"/>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  签订日期：     年    月   日</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br w:type="page" w:clear="all"/>
      </w:r>
      <w:r>
        <w:rPr>
          <w:rFonts w:ascii="Microsoft YaHei" w:hAnsi="Microsoft YaHei" w:eastAsia="Microsoft YaHei" w:cs="Microsoft YaHei"/>
          <w:sz w:val="24"/>
        </w:rPr>
      </w:r>
      <w:r/>
    </w:p>
    <w:p>
      <w:pPr>
        <w:ind w:left="0" w:right="0" w:firstLine="0"/>
        <w:jc w:val="center"/>
        <w:spacing w:before="120" w:after="36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142" w:right="0" w:firstLine="0"/>
        <w:jc w:val="both"/>
        <w:spacing w:before="0" w:after="120" w:line="360" w:lineRule="auto"/>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一.采购标的清单</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75"/>
        <w:gridCol w:w="567"/>
        <w:gridCol w:w="3685"/>
        <w:gridCol w:w="4110"/>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360" w:lineRule="auto"/>
              <w:tabs>
                <w:tab w:val="left" w:pos="2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综治中心平台大屏端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r>
      <w:tr>
        <w:trPr>
          <w:trHeight w:val="2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综治中心平台业务端（PC）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r>
      <w:tr>
        <w:trPr>
          <w:trHeight w:val="22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系统接口建设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二.项目背景</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政法委发布《关于加强社会治安综合治理中心规范化建设的意见》要求区县综治中心，为重大风险动态研判、预测预警、应急处置等提供技术支撑。根据文件职责任务，将重心放在矛盾纠纷化解和社会治安风险防控。工作机制上要建立研判预警机制、协调调度机制、督办问责机制，配合信息化平台统筹线索信息，制定预警规则，强化风险预测预警，实现隐患及时发现、快速解决；通过平台快速流转工单问题，加快解决效率，研判问题等级，通过领导调度集中处置。</w:t>
      </w:r>
      <w:r/>
    </w:p>
    <w:p>
      <w:pPr>
        <w:ind w:left="42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三.建设目标</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障提升海陵区综治中心平台社会治安综合治理研判分析能力，海陵区综治中心需要以集约化、平台化途径建设，围绕汇聚、归集、贯通、感知、驾驶、处办、指挥、考核等平台运行的核心业务需求，结合目前业务现状及时下迫切的、可行的业务需求，进行务实的、统筹的需求规划和设计。</w:t>
      </w:r>
      <w:r/>
    </w:p>
    <w:p>
      <w:pPr>
        <w:ind w:left="42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四.采购需求</w:t>
      </w:r>
      <w:r/>
    </w:p>
    <w:p>
      <w:pPr>
        <w:ind w:left="40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1.综治中心平台大屏端</w:t>
      </w:r>
      <w:r/>
    </w:p>
    <w:p>
      <w:pPr>
        <w:ind w:lef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全量归集模块：整合区域基础信息，包括区域面积、实有人口、流动人口等关键数据，并对全区网格进行宏观分析，区分综合网格与专属网格的不同特征。将社会治理数据规范化为"人、房、企、地、事、物、组织、场所"八大要素，通过数据关联技术建立以人为核心的"人-事-物-车"关系图谱，形成完整的全息档案体系，支持对特别关注重点人员（关注人员、关爱人员）的动态管理，实现了区域治理要素的全面数字化和智能化管理。</w:t>
      </w:r>
      <w:r/>
    </w:p>
    <w:p>
      <w:pPr>
        <w:ind w:lef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全域感知模块：构建了矛盾纠纷化解和社会治安风险两大核心防控体系。在矛盾纠纷化解方面，汇聚多渠道事件，针对"登记受理-先行调解-分类流转-案结事了"的全流程闭环进行分析，通过矛盾分析、综合分析、研判分析和近期高发事件，以及一站式化解分析和办件统计，实现矛盾纠纷的早预防、早化解。</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在社会治安风险防控方面，关注舆情数据和社会诉求，对接视频AI平台，实现重点区域智能监控，对接智能监测设备实时监测物联数据和信访数据，及时收到风险预警；体现基层巡查成效，在基层巡查上分析重点人员和重点场所的走访情况。</w:t>
      </w:r>
      <w:r/>
    </w:p>
    <w:p>
      <w:pPr>
        <w:ind w:lef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全链分析模块：构建了集事件态势分析、重点事件处置和线索报告生成于一体的综合治理体系。全面归集多源事件数据，从事件总量、办结量、等级分布、来源构成、类型特征等维度进行宏观态势分析；重点事件关注识别对紧急事件、一人多诉事件、重点人员事件、多人同诉事件；线索报告支持融日常报告展示。</w:t>
      </w:r>
      <w:r/>
    </w:p>
    <w:p>
      <w:pPr>
        <w:ind w:lef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全局指挥模块：展示当日值班情况，对接视频平台监控数据，可按专题查看各区域现场情况；当全链分析中的重点事件提级后，将案件提级到应急案件中，通过应急列表与详情、应急预案、应急流程、应急案件撒点完成应急案件信息总览；同时构建作战中心，通过直达现场、周边资源、启动预案、应急总结实现应急案件指挥调度。</w:t>
      </w:r>
      <w:r/>
    </w:p>
    <w:p>
      <w:pPr>
        <w:ind w:lef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全盘评估模块：对海陵区内的工作成果和工作效能进行总结，一方面利用风险量化模型对区域进行效能评估，及时发现治理盲点，靶向政策，另一方面根据网格人员考核办法对网格人员进行绩效评价，定期出具评估报告汇报领导，推动网格内工作效率和服务效能。</w:t>
      </w:r>
      <w:r/>
    </w:p>
    <w:p>
      <w:pPr>
        <w:ind w:left="40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2.综治中心平台业务端（</w:t>
      </w:r>
      <w:r>
        <w:rPr>
          <w:rFonts w:ascii="SimSun" w:hAnsi="SimSun" w:eastAsia="SimSun" w:cs="SimSun"/>
          <w:color w:val="000000"/>
          <w:sz w:val="24"/>
        </w:rPr>
        <w:t xml:space="preserve">PC</w:t>
      </w:r>
      <w:r>
        <w:rPr>
          <w:rFonts w:ascii="SimSun" w:hAnsi="SimSun" w:eastAsia="SimSun" w:cs="SimSun"/>
          <w:color w:val="000000"/>
          <w:sz w:val="24"/>
          <w:u w:val="none"/>
        </w:rPr>
        <w:t xml:space="preserve">）</w:t>
      </w:r>
      <w:r/>
    </w:p>
    <w:p>
      <w:pPr>
        <w:numPr>
          <w:ilvl w:val="0"/>
          <w:numId w:val="6"/>
        </w:numPr>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基础业务模块：包含人员要素管理、房屋要素管理、企业要素管理、地址要素管理、事件要素管理、物件要素管理、组织要素管理、场所要素管理，用于支撑综治中心平台的基础数据的分析。</w:t>
      </w:r>
      <w:r/>
    </w:p>
    <w:p>
      <w:pPr>
        <w:numPr>
          <w:ilvl w:val="0"/>
          <w:numId w:val="6"/>
        </w:numPr>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分析研判模块：包含网格指标管理、矛调队伍建设管理、重点事件管理、应急案件值班管理、应急预案管理。</w:t>
      </w:r>
      <w:r/>
    </w:p>
    <w:p>
      <w:pPr>
        <w:numPr>
          <w:ilvl w:val="0"/>
          <w:numId w:val="6"/>
        </w:numPr>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预警监测模块：实现物联感知预警数据和视频AI预警数据的管理。</w:t>
      </w:r>
      <w:r/>
    </w:p>
    <w:p>
      <w:pPr>
        <w:numPr>
          <w:ilvl w:val="0"/>
          <w:numId w:val="6"/>
        </w:numPr>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质效评估模块：建立区域风险模型，包含科室人员打分功能、风险评估模型、区域得分情况；建立人员质效模型，包含人员质效管理。</w:t>
      </w:r>
      <w:r/>
    </w:p>
    <w:p>
      <w:pPr>
        <w:ind w:left="40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3.系统接口建设</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获取外部平台数据，要求建设与“泰治理”平台对接接口，获取重点人员、巡查走访等数据；建设与“视频AI算法”平台对接接口，获取预警数据；建设“信访人脸识别”对接接口，获取重点信访人员识别数据；建设“苏移舆情”平台对接接口，获取网络舆情预警数据；</w:t>
      </w:r>
      <w:r/>
    </w:p>
    <w:p>
      <w:pPr>
        <w:ind w:left="42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五.技术要求</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技术要求是指对采购标的功能和质量要求，包括性能、材料、结构、外观、安全，或者服务内容和标准等。</w:t>
      </w:r>
      <w:r>
        <w:rPr>
          <w:rFonts w:ascii="Calibri" w:hAnsi="Calibri" w:eastAsia="Calibri" w:cs="Calibri"/>
          <w:sz w:val="21"/>
        </w:rPr>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36"/>
        <w:gridCol w:w="664"/>
        <w:gridCol w:w="6945"/>
        <w:gridCol w:w="572"/>
        <w:gridCol w:w="738"/>
      </w:tblGrid>
      <w:tr>
        <w:trPr>
          <w:trHeight w:val="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综治中心平台大屏端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一、全量归集模块</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1.专题总览：包含区域概况分析、区域指标分析、综合网格分析、专属网格分析</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2.要素总览：包含关注人群分析、关爱人群分析、重点人员清单分析、人员图谱、房屋要素分析、企业要素分析、用地要素分析、事件要素分析、物件要素分析、组织要素分析、场所要素分析</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二、全域感知模块</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1.矛盾纠纷化解：队伍建设清单、全流程态势、矛盾分析、综合分析、研判分析、近期高发事件、事件办件量分析、事件处置效率分析、矛盾调解分析、多元化解分析、办件统计分析</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2.社会治安风险：网络舆情分析、热点关注分析、视频AI分析、物联感知分析、社情民意分析、信访预警分析、重点人员走访分析、重点场所走访分析</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三、全链分析模块</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1.事件处置平台跳转</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2.事件态势：上报问题概览、事件等级分析、来源分析、类型分析、趋势分析、高发案件热力图</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3.重点事件分析：紧急事件识别、一人多诉事件识别、重点人员事件识别、多人同诉事件识别</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4.线索事件报告：日报、月报、专报生成</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四、全局指挥模块</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1.今日值班：指挥中心值班人员展示、突发事件信息展示</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2.视频场景：视频场景查看、监控专题分类</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3.应急案件信息：应急事件列表、应急事件详情、应急预案、应急流程</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4.应急案件处置：直达现场、周边资源、启动预案、应急总结</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五、全盘评估模块</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1.风险量化评估：本区平安指数、体检分数趋势、各街道得分排行、风险预警</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2.网格人员质态：质态概览、街道网格排行、考核红黑榜</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评估报告：日报、月报、专报生成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r>
        <w:trPr>
          <w:trHeight w:val="1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综治中心平台业务端（PC）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val="false"/>
          </w:tcPr>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（1）基础业务模块：包含人员要素管理、房屋要素管理、企业要素管理、地址要素管理、事件要素管理、物件要素管理、组织要素管理、场所要素管理，用于支撑综治中心平台的基础数据的分析</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（2）分析研判模块：包含网格指标管理、矛调队伍建设管理、重点事件管理、应急案件值班管理、应急预案管理</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（3）预警监测模块：包含物联感知预警管理、视频AI预警管理</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（4）质效评估模块：包含风险评估模型管理、人员质效管理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r>
        <w:trPr>
          <w:trHeight w:val="11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系统接口建设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val="false"/>
          </w:tcPr>
          <w:p>
            <w:pPr>
              <w:ind w:left="420" w:firstLine="0"/>
              <w:spacing w:before="0" w:after="0" w:line="360" w:lineRule="auto"/>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rPr>
              <w:t xml:space="preserve">“泰治理”平台对接接口</w:t>
            </w:r>
            <w:r>
              <w:rPr>
                <w:rFonts w:ascii="SimSun" w:hAnsi="SimSun" w:eastAsia="SimSun" w:cs="SimSun"/>
                <w:color w:val="000000"/>
                <w:sz w:val="22"/>
                <w:szCs w:val="22"/>
              </w:rPr>
            </w:r>
            <w:r/>
          </w:p>
          <w:p>
            <w:pPr>
              <w:ind w:left="42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2.“视频AI算法”平台对接接口</w:t>
            </w:r>
            <w:r/>
          </w:p>
          <w:p>
            <w:pPr>
              <w:ind w:left="42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3.“信访人脸识别”数据对接接口</w:t>
            </w:r>
            <w:r/>
          </w:p>
          <w:p>
            <w:pPr>
              <w:ind w:left="42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4.对接“苏移舆情”对接接口</w:t>
            </w:r>
            <w:r/>
          </w:p>
          <w:p>
            <w:pPr>
              <w:ind w:left="0" w:right="0" w:firstLine="0"/>
              <w:spacing w:before="0" w:after="0" w:line="360" w:lineRule="auto"/>
              <w:rPr>
                <w:b/>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b/>
                <w:bCs/>
                <w:i/>
                <w:iCs/>
                <w:color w:val="000000"/>
                <w:sz w:val="22"/>
                <w:u w:val="single"/>
              </w:rPr>
              <w:t xml:space="preserve">5.供应商需承诺“泰治理”、“视频AI算法”、“信访人脸识别”、“苏移舆情”、“融合通信”、“政法监控平台”等平台实现无缝对接，如在对接过程中产生对接费用，费用由供应商承担。（提供承诺函并加盖供应商公章）</w:t>
            </w:r>
            <w:r>
              <w:rPr>
                <w:b/>
                <w:bCs/>
                <w:i/>
                <w:iCs/>
                <w:u w:val="singl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六.商务要求</w:t>
      </w:r>
      <w:r/>
    </w:p>
    <w:p>
      <w:pPr>
        <w:ind w:left="0" w:right="0" w:firstLine="0"/>
        <w:jc w:val="both"/>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、服务要求（服务保证期限）：</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服务期限：</w:t>
      </w:r>
      <w:r>
        <w:rPr>
          <w:rFonts w:ascii="Calibri" w:hAnsi="Calibri" w:eastAsia="Calibri" w:cs="Calibri"/>
          <w:color w:val="000000"/>
          <w:sz w:val="24"/>
        </w:rPr>
        <w:t xml:space="preserve">2</w:t>
      </w:r>
      <w:r>
        <w:rPr>
          <w:rFonts w:ascii="SimSun" w:hAnsi="SimSun" w:eastAsia="SimSun" w:cs="SimSun"/>
          <w:color w:val="000000"/>
          <w:sz w:val="24"/>
        </w:rPr>
        <w:t xml:space="preserve">年</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维护服务要求：</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）发生重大故障</w:t>
      </w:r>
      <w:r>
        <w:rPr>
          <w:rFonts w:ascii="Calibri" w:hAnsi="Calibri" w:eastAsia="Calibri" w:cs="Calibri"/>
          <w:color w:val="000000"/>
          <w:sz w:val="24"/>
        </w:rPr>
        <w:t xml:space="preserve">1</w:t>
      </w:r>
      <w:r>
        <w:rPr>
          <w:rFonts w:ascii="SimSun" w:hAnsi="SimSun" w:eastAsia="SimSun" w:cs="SimSun"/>
          <w:color w:val="000000"/>
          <w:sz w:val="24"/>
        </w:rPr>
        <w:t xml:space="preserve">小时内到达现场，</w:t>
      </w:r>
      <w:r>
        <w:rPr>
          <w:rFonts w:ascii="Calibri" w:hAnsi="Calibri" w:eastAsia="Calibri" w:cs="Calibri"/>
          <w:color w:val="000000"/>
          <w:sz w:val="24"/>
        </w:rPr>
        <w:t xml:space="preserve">24</w:t>
      </w:r>
      <w:r>
        <w:rPr>
          <w:rFonts w:ascii="SimSun" w:hAnsi="SimSun" w:eastAsia="SimSun" w:cs="SimSun"/>
          <w:color w:val="000000"/>
          <w:sz w:val="24"/>
        </w:rPr>
        <w:t xml:space="preserve">小时内排除并恢复。</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）提供</w:t>
      </w:r>
      <w:r>
        <w:rPr>
          <w:rFonts w:ascii="Calibri" w:hAnsi="Calibri" w:eastAsia="Calibri" w:cs="Calibri"/>
          <w:color w:val="000000"/>
          <w:sz w:val="24"/>
        </w:rPr>
        <w:t xml:space="preserve">2</w:t>
      </w:r>
      <w:r>
        <w:rPr>
          <w:rFonts w:ascii="SimSun" w:hAnsi="SimSun" w:eastAsia="SimSun" w:cs="SimSun"/>
          <w:color w:val="000000"/>
          <w:sz w:val="24"/>
        </w:rPr>
        <w:t xml:space="preserve">年的上门维护服务。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、项目完工期限：合同签订后</w:t>
      </w:r>
      <w:r>
        <w:rPr>
          <w:rFonts w:ascii="Calibri" w:hAnsi="Calibri" w:eastAsia="Calibri" w:cs="Calibri"/>
          <w:color w:val="000000"/>
          <w:sz w:val="24"/>
        </w:rPr>
        <w:t xml:space="preserve">30</w:t>
      </w:r>
      <w:r>
        <w:rPr>
          <w:rFonts w:ascii="SimSun" w:hAnsi="SimSun" w:eastAsia="SimSun" w:cs="SimSun"/>
          <w:color w:val="000000"/>
          <w:sz w:val="24"/>
        </w:rPr>
        <w:t xml:space="preserve">天</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、项目交付或执行的地点：泰州市海陵区</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、采购付款方式：</w:t>
      </w:r>
      <w:r/>
    </w:p>
    <w:p>
      <w:pPr>
        <w:ind w:left="0" w:right="0" w:firstLine="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（1）预付款：签订合同后，支付合同总价45%。</w:t>
      </w:r>
      <w:r>
        <w:rPr>
          <w:rFonts w:ascii="SimSun" w:hAnsi="SimSun" w:eastAsia="SimSun" w:cs="SimSun"/>
          <w:color w:val="000000"/>
          <w:sz w:val="24"/>
          <w:szCs w:val="24"/>
        </w:rPr>
      </w:r>
      <w:r/>
    </w:p>
    <w:p>
      <w:pPr>
        <w:ind w:left="0" w:right="0" w:firstLine="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（2）尾款：正常试运行1个月后，通过甲方组织的验收，支付至合同金额的100%。</w:t>
      </w:r>
      <w:r>
        <w:rPr>
          <w:rFonts w:ascii="SimSun" w:hAnsi="SimSun" w:eastAsia="SimSun" w:cs="SimSun"/>
          <w:color w:val="000000"/>
          <w:sz w:val="24"/>
          <w:szCs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七、其他要求</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1.项目属性:服务类项目。</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2.进口产品参与磋商</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48"/>
        <w:gridCol w:w="491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1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是否接受进口产品参与磋商</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bl>
    <w:p>
      <w:pPr>
        <w:ind w:left="0" w:right="0" w:firstLine="0"/>
        <w:jc w:val="both"/>
        <w:spacing w:before="0" w:after="0" w:line="360" w:lineRule="auto"/>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3.演示要求</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上传视频演示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按照磋商文件规定的演示内容制作演示视频文件，视频文件的格式为*.mp4或*.avi，供应商须将视频文件分段压缩为*.zip文件上传（单个文件不得大于50M，所有文件总共不得大于300M）。文件上传方式见《操作手册》规定，上传的演示视频将作为响应文件的组成部分，视频时长总计不超过</w:t>
      </w:r>
      <w:r>
        <w:rPr>
          <w:rFonts w:ascii="SimSun" w:hAnsi="SimSun" w:eastAsia="SimSun" w:cs="SimSun"/>
          <w:color w:val="000000"/>
          <w:sz w:val="24"/>
          <w:u w:val="single"/>
        </w:rPr>
        <w:t xml:space="preserve">15</w:t>
      </w:r>
      <w:r>
        <w:rPr>
          <w:rFonts w:ascii="SimSun" w:hAnsi="SimSun" w:eastAsia="SimSun" w:cs="SimSun"/>
          <w:color w:val="000000"/>
          <w:sz w:val="24"/>
        </w:rPr>
        <w:t xml:space="preserve">分钟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（2）演示内容详见第四章采购需求第二条技术要求。</w:t>
      </w:r>
      <w:r>
        <w:br w:type="page" w:clear="all"/>
      </w:r>
      <w:r>
        <w:rPr>
          <w:rFonts w:ascii="Calibri" w:hAnsi="Calibri" w:eastAsia="Calibri" w:cs="Calibri"/>
          <w:sz w:val="21"/>
        </w:rPr>
      </w:r>
      <w:r/>
    </w:p>
    <w:p>
      <w:pPr>
        <w:ind w:left="0" w:right="0" w:firstLine="480"/>
        <w:jc w:val="both"/>
        <w:spacing w:before="0" w:after="0" w:line="360" w:lineRule="auto"/>
        <w:shd w:val="clear" w:color="ffffff" w:fill="ffffff"/>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Hei" w:hAnsi="SimHei" w:eastAsia="SimHei" w:cs="SimHei"/>
          <w:color w:val="000000"/>
          <w:sz w:val="44"/>
        </w:rPr>
        <w:t xml:space="preserve">第五章 </w:t>
      </w:r>
      <w:r>
        <w:rPr>
          <w:rFonts w:ascii="SimHei" w:hAnsi="SimHei" w:eastAsia="SimHei" w:cs="SimHei"/>
          <w:b/>
          <w:color w:val="000000"/>
          <w:sz w:val="44"/>
        </w:rPr>
        <w:t xml:space="preserve">评审方法与评审标准</w:t>
      </w:r>
      <w:r/>
    </w:p>
    <w:p>
      <w:pPr>
        <w:ind w:left="0" w:right="0" w:firstLine="439"/>
        <w:spacing w:before="120" w:after="12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响应文件满足磋商文件全部实质性要求，且综合评分得分最高的供应商为成交供应商。</w:t>
      </w:r>
      <w:r>
        <w:rPr>
          <w:rFonts w:ascii="SimSun" w:hAnsi="SimSun" w:eastAsia="SimSun" w:cs="SimSun"/>
          <w:color w:val="000000"/>
          <w:sz w:val="24"/>
        </w:rPr>
        <w:t xml:space="preserve">若综合得分相同，按商务部分得分由高到低顺序排列；若综合得分相同且商务部分得分相同，按技术部分得分由高到低顺序排列。</w:t>
      </w:r>
      <w:r/>
    </w:p>
    <w:p>
      <w:pPr>
        <w:ind w:left="0" w:right="0" w:firstLine="441"/>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政府采购政策功能落实</w:t>
      </w:r>
      <w:r/>
    </w:p>
    <w:p>
      <w:pPr>
        <w:ind w:left="0" w:right="0" w:firstLine="566"/>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（1）本项目对小型和微型企业提供的服务给予20%的扣除价格，用扣除后的价格参与评审。</w:t>
      </w:r>
      <w:r/>
    </w:p>
    <w:p>
      <w:pPr>
        <w:ind w:left="0" w:right="0" w:firstLine="36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（2）供应商需按照采购文件的要求提供相应的《中小微企业声明函》。</w:t>
      </w:r>
      <w:r/>
    </w:p>
    <w:p>
      <w:pPr>
        <w:ind w:left="0" w:right="0" w:firstLine="36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566"/>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36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36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36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566"/>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566"/>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566"/>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566"/>
        <w:spacing w:before="120" w:after="24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2"/>
        <w:spacing w:before="120" w:after="12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评审方法与评审标准</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60"/>
        <w:gridCol w:w="1110"/>
        <w:gridCol w:w="1173"/>
        <w:gridCol w:w="5737"/>
        <w:gridCol w:w="660"/>
      </w:tblGrid>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center"/>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rPr>
              <w:t xml:space="preserve">评分项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tcPr>
          <w:p>
            <w:pPr>
              <w:ind w:left="0" w:right="0" w:firstLine="0"/>
              <w:jc w:val="center"/>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rPr>
              <w:t xml:space="preserve">评分细项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37" w:type="dxa"/>
            <w:vAlign w:val="center"/>
            <w:textDirection w:val="lrTb"/>
            <w:noWrap w:val="false"/>
          </w:tcPr>
          <w:p>
            <w:pPr>
              <w:ind w:left="0" w:right="0" w:firstLine="0"/>
              <w:jc w:val="center"/>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rPr>
              <w:t xml:space="preserve">评分标准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center"/>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rPr>
              <w:t xml:space="preserve">分值</w:t>
            </w:r>
            <w:r>
              <w:rPr>
                <w:rFonts w:ascii="宋体" w:hAnsi="宋体" w:cs="宋体"/>
              </w:rPr>
            </w:r>
            <w:r/>
          </w:p>
        </w:tc>
      </w:tr>
      <w:tr>
        <w:trPr>
          <w:trHeight w:val="8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1</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3"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响应报价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37" w:type="dxa"/>
            <w:vAlign w:val="center"/>
            <w:textDirection w:val="lrTb"/>
            <w:noWrap w:val="false"/>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价格分应当采用低价优先法计算，即满足磋商文件要求且最终报价最低的供应商的价格为磋商基准价，其价格分为满分。</w:t>
              <w:br/>
              <w:t xml:space="preserve">其他供应商的价格分统一按照下列公式计算：</w:t>
              <w:br/>
              <w:t xml:space="preserve">磋商报价得分=（磋商基准价/最后磋商报价）×10，小数点后保留2位。</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10</w:t>
            </w:r>
            <w:r>
              <w:rPr>
                <w:rFonts w:ascii="宋体" w:hAnsi="宋体" w:cs="宋体"/>
              </w:rPr>
            </w:r>
            <w:r/>
          </w:p>
        </w:tc>
      </w:tr>
      <w:tr>
        <w:trPr>
          <w:trHeight w:val="16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0" w:type="dxa"/>
            <w:vAlign w:val="center"/>
            <w:vMerge w:val="restart"/>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商务部分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企业资质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37" w:type="dxa"/>
            <w:vAlign w:val="center"/>
            <w:textDirection w:val="lrTb"/>
            <w:noWrap w:val="false"/>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r>
            <w:r>
              <w:rPr>
                <w:rFonts w:ascii="SimSun" w:hAnsi="SimSun" w:eastAsia="SimSun" w:cs="SimSun"/>
                <w:color w:val="000000"/>
                <w:sz w:val="22"/>
                <w:u w:val="none"/>
              </w:rPr>
              <w:t xml:space="preserve">1.供应商通过</w:t>
            </w:r>
            <w:r>
              <w:rPr>
                <w:rFonts w:ascii="SimSun" w:hAnsi="SimSun" w:eastAsia="SimSun" w:cs="SimSun"/>
                <w:color w:val="000000"/>
                <w:sz w:val="22"/>
              </w:rPr>
              <w:t xml:space="preserve">ISO9001</w:t>
            </w:r>
            <w:r>
              <w:rPr>
                <w:rFonts w:ascii="SimSun" w:hAnsi="SimSun" w:eastAsia="SimSun" w:cs="SimSun"/>
                <w:color w:val="000000"/>
                <w:sz w:val="22"/>
                <w:u w:val="none"/>
              </w:rPr>
              <w:t xml:space="preserve">质量管理体系认证、</w:t>
            </w:r>
            <w:r>
              <w:rPr>
                <w:rFonts w:ascii="SimSun" w:hAnsi="SimSun" w:eastAsia="SimSun" w:cs="SimSun"/>
                <w:color w:val="000000"/>
                <w:sz w:val="22"/>
              </w:rPr>
              <w:t xml:space="preserve">ISO27001</w:t>
            </w:r>
            <w:r>
              <w:rPr>
                <w:rFonts w:ascii="SimSun" w:hAnsi="SimSun" w:eastAsia="SimSun" w:cs="SimSun"/>
                <w:color w:val="000000"/>
                <w:sz w:val="22"/>
                <w:u w:val="none"/>
              </w:rPr>
              <w:t xml:space="preserve">信息安全管理体系认证、</w:t>
            </w:r>
            <w:r>
              <w:rPr>
                <w:rFonts w:ascii="SimSun" w:hAnsi="SimSun" w:eastAsia="SimSun" w:cs="SimSun"/>
                <w:color w:val="000000"/>
                <w:sz w:val="22"/>
              </w:rPr>
              <w:t xml:space="preserve">ISO20000</w:t>
            </w:r>
            <w:r>
              <w:rPr>
                <w:rFonts w:ascii="SimSun" w:hAnsi="SimSun" w:eastAsia="SimSun" w:cs="SimSun"/>
                <w:color w:val="000000"/>
                <w:sz w:val="22"/>
                <w:u w:val="none"/>
              </w:rPr>
              <w:t xml:space="preserve">信息技术服务管理体系认证的，有一个得</w:t>
            </w:r>
            <w:r>
              <w:rPr>
                <w:rFonts w:ascii="SimSun" w:hAnsi="SimSun" w:eastAsia="SimSun" w:cs="SimSun"/>
                <w:color w:val="000000"/>
                <w:sz w:val="22"/>
              </w:rPr>
              <w:t xml:space="preserve">2</w:t>
            </w:r>
            <w:r>
              <w:rPr>
                <w:rFonts w:ascii="SimSun" w:hAnsi="SimSun" w:eastAsia="SimSun" w:cs="SimSun"/>
                <w:color w:val="000000"/>
                <w:sz w:val="22"/>
                <w:u w:val="none"/>
              </w:rPr>
              <w:t xml:space="preserve">分，本项最多得</w:t>
            </w:r>
            <w:r>
              <w:rPr>
                <w:rFonts w:ascii="SimSun" w:hAnsi="SimSun" w:eastAsia="SimSun" w:cs="SimSun"/>
                <w:color w:val="000000"/>
                <w:sz w:val="22"/>
              </w:rPr>
              <w:t xml:space="preserve">6</w:t>
            </w:r>
            <w:r>
              <w:rPr>
                <w:rFonts w:ascii="SimSun" w:hAnsi="SimSun" w:eastAsia="SimSun" w:cs="SimSun"/>
                <w:color w:val="000000"/>
                <w:sz w:val="22"/>
                <w:u w:val="none"/>
              </w:rPr>
              <w:t xml:space="preserve">分；</w:t>
            </w:r>
            <w:r>
              <w:rPr>
                <w:rFonts w:ascii="宋体" w:hAnsi="宋体" w:eastAsia="宋体" w:cs="宋体"/>
                <w:color w:val="000000"/>
                <w:sz w:val="22"/>
              </w:rPr>
              <w:br/>
              <w:t xml:space="preserve">2.供应商具有电子智能化二级以上资质的得2分。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8</w:t>
            </w:r>
            <w:r>
              <w:rPr>
                <w:rFonts w:ascii="宋体" w:hAnsi="宋体" w:cs="宋体"/>
              </w:rPr>
            </w:r>
            <w:r/>
          </w:p>
        </w:tc>
      </w:tr>
      <w:tr>
        <w:trPr>
          <w:trHeight w:val="8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业绩</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37" w:type="dxa"/>
            <w:vAlign w:val="center"/>
            <w:textDirection w:val="lrTb"/>
            <w:noWrap w:val="false"/>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供应商提供自2022年1月1日起（以合同签订的时间为准）包含数据平台或数据治理相关项目业绩，每提供一个得1分，满分3分。</w:t>
              <w:br/>
              <w:t xml:space="preserve">注：须提供合同关键页，并加盖单位公章。时间以合同签订时间为准。若提供的证明材料不能反映该业绩的相关数据和内容的，该业绩不予认可。</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3</w:t>
            </w:r>
            <w:r>
              <w:rPr>
                <w:rFonts w:ascii="宋体" w:hAnsi="宋体" w:cs="宋体"/>
              </w:rPr>
            </w:r>
            <w:r/>
          </w:p>
        </w:tc>
      </w:tr>
      <w:tr>
        <w:trPr>
          <w:trHeight w:val="5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0" w:type="dxa"/>
            <w:vAlign w:val="center"/>
            <w:vMerge w:val="restart"/>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技术部分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需求分析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37" w:type="dxa"/>
            <w:vAlign w:val="center"/>
            <w:textDirection w:val="lrTb"/>
            <w:noWrap w:val="false"/>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概述详细，组织机构健全，总体安排科学，方案考虑周全等得20分；概述较为详细，总体安排可行，方案考虑比较细致，能满足项目实施需要的得15分；方案简单，基本能满足项目实施需要的得10分；内容缺失，基本无法满足项目需求的得5分；未提供相应内容不得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20</w:t>
            </w:r>
            <w:r>
              <w:rPr>
                <w:rFonts w:ascii="宋体" w:hAnsi="宋体" w:cs="宋体"/>
              </w:rPr>
            </w:r>
            <w:r/>
          </w:p>
        </w:tc>
      </w:tr>
      <w:tr>
        <w:trPr>
          <w:trHeight w:val="5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建设方案</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37" w:type="dxa"/>
            <w:vAlign w:val="center"/>
            <w:textDirection w:val="lrTb"/>
            <w:noWrap w:val="false"/>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方案科学、合理、完全包含上述内容、可操作性强的得20分；方案较科学、较合理、内容较全面，具有一定可操作性的得15分；方案基本科学、基本合理、内容有部分缺少的得10分；方案不科学、不合理的得5分；未提供相应内容不得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20</w:t>
            </w:r>
            <w:r>
              <w:rPr>
                <w:rFonts w:ascii="宋体" w:hAnsi="宋体" w:cs="宋体"/>
              </w:rPr>
            </w:r>
            <w:r/>
          </w:p>
        </w:tc>
      </w:tr>
      <w:tr>
        <w:trPr>
          <w:trHeight w:val="24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实施方案</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37" w:type="dxa"/>
            <w:vAlign w:val="center"/>
            <w:textDirection w:val="lrTb"/>
            <w:noWrap w:val="false"/>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1.项目实施过程质量保证措施</w:t>
              <w:br/>
              <w:t xml:space="preserve">根据供应商提供方案的完整性、针对性、可行性和合理性打分，方案完整、合理的得5分，方案较为完整、合理的得3分，内容有缺失、合理性较差的得1分，不提供不得分。</w:t>
              <w:br/>
              <w:t xml:space="preserve"> 2.项目进度保障措施</w:t>
              <w:br/>
              <w:t xml:space="preserve">根据供应商提供方案的完整性、针对性、可行性和合理性打分，方案完整、合理的得5分，方案较为完整、合理的得3分，内容有缺失、合理性较差的得1分，不提供不得分。</w:t>
              <w:br/>
              <w:t xml:space="preserve"> 3.项目安全和保密管理措施</w:t>
              <w:br/>
              <w:t xml:space="preserve">根据供应商提供方案的完整性、针对性、可行性和合理性打分，方案完整、合理的得5分，方案较为完整、合理的得3分，内容有缺</w:t>
            </w:r>
            <w:r>
              <w:rPr>
                <w:rFonts w:ascii="宋体" w:hAnsi="宋体" w:eastAsia="宋体" w:cs="宋体"/>
                <w:color w:val="000000"/>
                <w:sz w:val="22"/>
              </w:rPr>
              <w:t xml:space="preserve">失、合理性较差的得1分，不提供不得分。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15</w:t>
            </w:r>
            <w:r>
              <w:rPr>
                <w:rFonts w:ascii="宋体" w:hAnsi="宋体" w:cs="宋体"/>
              </w:rPr>
            </w:r>
            <w:r/>
          </w:p>
        </w:tc>
      </w:tr>
      <w:tr>
        <w:trPr>
          <w:trHeight w:val="38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功能演示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37" w:type="dxa"/>
            <w:vAlign w:val="center"/>
            <w:textDirection w:val="lrTb"/>
            <w:noWrap w:val="false"/>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供应商须响应技术规范书中的综治中心平台大屏端、业务端，平台功能满足所需功能要求，全部响应并按照要求提供证明演示文件的得15分，每个功能点不满足的扣1分，扣完为止。注：以技术规范书中要求提供的证明资料作为评审依据。</w:t>
            </w:r>
            <w:r>
              <w:rPr>
                <w:rFonts w:ascii="宋体" w:hAnsi="宋体" w:cs="宋体"/>
              </w:rPr>
            </w:r>
            <w:r/>
          </w:p>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需要提供证明演示文件的模块功能如下：</w:t>
            </w:r>
            <w:r>
              <w:rPr>
                <w:rFonts w:ascii="宋体" w:hAnsi="宋体" w:cs="宋体"/>
              </w:rPr>
            </w:r>
            <w:r/>
          </w:p>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综治中心平台大屏端：</w:t>
              <w:br/>
            </w:r>
            <w:r>
              <w:rPr>
                <w:rFonts w:ascii="宋体" w:hAnsi="宋体" w:eastAsia="宋体" w:cs="宋体"/>
                <w:b/>
                <w:color w:val="000000"/>
                <w:sz w:val="22"/>
              </w:rPr>
              <w:t xml:space="preserve">一、全量归集模块</w:t>
            </w:r>
            <w:r>
              <w:rPr>
                <w:rFonts w:ascii="宋体" w:hAnsi="宋体" w:cs="宋体"/>
              </w:rPr>
            </w:r>
            <w:r/>
          </w:p>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2"/>
              </w:rPr>
              <w:t xml:space="preserve">1</w:t>
            </w:r>
            <w:r>
              <w:rPr>
                <w:rFonts w:ascii="宋体" w:hAnsi="宋体" w:eastAsia="宋体" w:cs="宋体"/>
                <w:color w:val="000000"/>
                <w:sz w:val="22"/>
              </w:rPr>
              <w:t xml:space="preserve">）专题总览：包含区域概况分析、区域指标分析、综合网格分析、专属网格分析</w:t>
            </w:r>
            <w:r>
              <w:rPr>
                <w:rFonts w:ascii="宋体" w:hAnsi="宋体" w:cs="宋体"/>
              </w:rPr>
            </w:r>
            <w:r/>
          </w:p>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2"/>
              </w:rPr>
              <w:t xml:space="preserve">2</w:t>
            </w:r>
            <w:r>
              <w:rPr>
                <w:rFonts w:ascii="宋体" w:hAnsi="宋体" w:eastAsia="宋体" w:cs="宋体"/>
                <w:color w:val="000000"/>
                <w:sz w:val="22"/>
              </w:rPr>
              <w:t xml:space="preserve">）要素总览：包含关注人群分析、关爱人群分析、重点人员清单分析、人员图谱、房屋要素分析、企业要素分析、用地要素分析、事件要素分析、物件要素分析、组织要素分析、场所要素分析</w:t>
            </w:r>
            <w:r>
              <w:rPr>
                <w:rFonts w:ascii="宋体" w:hAnsi="宋体" w:cs="宋体"/>
              </w:rPr>
            </w:r>
            <w:r/>
          </w:p>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rPr>
              <w:t xml:space="preserve">二、全域感知模块</w:t>
            </w:r>
            <w:r>
              <w:rPr>
                <w:rFonts w:ascii="宋体" w:hAnsi="宋体" w:cs="宋体"/>
              </w:rPr>
            </w:r>
            <w:r/>
          </w:p>
          <w:p>
            <w:pPr>
              <w:ind w:lef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1）矛盾纠纷化解：队伍建设清单、全流程态势、矛盾分析、综合分析、研判分析、近期高发事件、事件办件量分析、事件处置效率分析、矛盾调解分析、多元化解分析、办件统计分析</w:t>
            </w:r>
            <w:r>
              <w:rPr>
                <w:rFonts w:ascii="宋体" w:hAnsi="宋体" w:cs="宋体"/>
              </w:rPr>
            </w:r>
            <w:r/>
          </w:p>
          <w:p>
            <w:pPr>
              <w:ind w:lef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2）社会治安风险：网络舆情分析、热点关注分析、视频</w:t>
            </w:r>
            <w:r>
              <w:rPr>
                <w:rFonts w:ascii="宋体" w:hAnsi="宋体" w:eastAsia="Calibri" w:cs="宋体"/>
                <w:color w:val="000000"/>
                <w:sz w:val="22"/>
              </w:rPr>
              <w:t xml:space="preserve">AI</w:t>
            </w:r>
            <w:r>
              <w:rPr>
                <w:rFonts w:ascii="宋体" w:hAnsi="宋体" w:eastAsia="宋体" w:cs="宋体"/>
                <w:color w:val="000000"/>
                <w:sz w:val="22"/>
              </w:rPr>
              <w:t xml:space="preserve">分析、物联感知分析、社情民意分析、信访预警分析、重点人员走访分析、重点场所走访分析</w:t>
            </w:r>
            <w:r>
              <w:rPr>
                <w:rFonts w:ascii="宋体" w:hAnsi="宋体" w:cs="宋体"/>
              </w:rPr>
            </w:r>
            <w:r/>
          </w:p>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rPr>
              <w:t xml:space="preserve">三、全链分析模块</w:t>
            </w:r>
            <w:r>
              <w:rPr>
                <w:rFonts w:ascii="宋体" w:hAnsi="宋体" w:cs="宋体"/>
              </w:rPr>
            </w:r>
            <w:r/>
          </w:p>
          <w:p>
            <w:pPr>
              <w:ind w:lef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1）事件处置平台跳转</w:t>
            </w:r>
            <w:r>
              <w:rPr>
                <w:rFonts w:ascii="宋体" w:hAnsi="宋体" w:cs="宋体"/>
              </w:rPr>
            </w:r>
            <w:r/>
          </w:p>
          <w:p>
            <w:pPr>
              <w:ind w:lef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2）事件态势：上报问题概览、事件等级分析、来源分析、类型分析、趋势分析、高发案件热力图</w:t>
            </w:r>
            <w:r>
              <w:rPr>
                <w:rFonts w:ascii="宋体" w:hAnsi="宋体" w:cs="宋体"/>
              </w:rPr>
            </w:r>
            <w:r/>
          </w:p>
          <w:p>
            <w:pPr>
              <w:ind w:lef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3）重点事件分析：紧急事件识别、一人多诉事件识别、重点人员事件识别、多人同诉事件识别</w:t>
            </w:r>
            <w:r>
              <w:rPr>
                <w:rFonts w:ascii="宋体" w:hAnsi="宋体" w:cs="宋体"/>
              </w:rPr>
            </w:r>
            <w:r/>
          </w:p>
          <w:p>
            <w:pPr>
              <w:ind w:lef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4）线索事件报告：日报、月报、专报生成</w:t>
            </w:r>
            <w:r>
              <w:rPr>
                <w:rFonts w:ascii="宋体" w:hAnsi="宋体" w:cs="宋体"/>
              </w:rPr>
            </w:r>
            <w:r/>
          </w:p>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rPr>
              <w:t xml:space="preserve">四、全局指挥模块</w:t>
            </w:r>
            <w:r>
              <w:rPr>
                <w:rFonts w:ascii="宋体" w:hAnsi="宋体" w:cs="宋体"/>
              </w:rPr>
            </w:r>
            <w:r/>
          </w:p>
          <w:p>
            <w:pPr>
              <w:ind w:lef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1）今日值班：指挥中心值班人员展示、突发事件信息展示</w:t>
            </w:r>
            <w:r>
              <w:rPr>
                <w:rFonts w:ascii="宋体" w:hAnsi="宋体" w:cs="宋体"/>
              </w:rPr>
            </w:r>
            <w:r/>
          </w:p>
          <w:p>
            <w:pPr>
              <w:ind w:lef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2）视频场景：视频场景查看、监控专题分类</w:t>
            </w:r>
            <w:r>
              <w:rPr>
                <w:rFonts w:ascii="宋体" w:hAnsi="宋体" w:cs="宋体"/>
              </w:rPr>
            </w:r>
            <w:r/>
          </w:p>
          <w:p>
            <w:pPr>
              <w:ind w:lef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3）应急案件信息：应急事件列表、应急事件详情、应急预案、应急流程</w:t>
            </w:r>
            <w:r>
              <w:rPr>
                <w:rFonts w:ascii="宋体" w:hAnsi="宋体" w:cs="宋体"/>
              </w:rPr>
            </w:r>
            <w:r/>
          </w:p>
          <w:p>
            <w:pPr>
              <w:ind w:lef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4）应急案件处置：直达现场、周边资源、启动预案、应急总结</w:t>
            </w:r>
            <w:r>
              <w:rPr>
                <w:rFonts w:ascii="宋体" w:hAnsi="宋体" w:cs="宋体"/>
              </w:rPr>
            </w:r>
            <w:r/>
          </w:p>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rPr>
              <w:t xml:space="preserve">五、全盘评估模块</w:t>
            </w:r>
            <w:r>
              <w:rPr>
                <w:rFonts w:ascii="宋体" w:hAnsi="宋体" w:cs="宋体"/>
              </w:rPr>
            </w:r>
            <w:r/>
          </w:p>
          <w:p>
            <w:pPr>
              <w:ind w:lef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1）风险量化评估：本区平安指数、体检分数趋势、各镇街得分排行、风险预警</w:t>
            </w:r>
            <w:r>
              <w:rPr>
                <w:rFonts w:ascii="宋体" w:hAnsi="宋体" w:cs="宋体"/>
              </w:rPr>
            </w:r>
            <w:r/>
          </w:p>
          <w:p>
            <w:pPr>
              <w:ind w:lef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2）网格人员质态：质态概览、街道网格排行、考核红黑榜</w:t>
            </w:r>
            <w:r>
              <w:rPr>
                <w:rFonts w:ascii="宋体" w:hAnsi="宋体" w:cs="宋体"/>
              </w:rPr>
            </w:r>
            <w:r/>
          </w:p>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评估报告：日报、月报、专报生成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15</w:t>
            </w:r>
            <w:r>
              <w:rPr>
                <w:rFonts w:ascii="宋体" w:hAnsi="宋体" w:cs="宋体"/>
              </w:rPr>
            </w:r>
            <w:r/>
          </w:p>
        </w:tc>
      </w:tr>
      <w:tr>
        <w:trPr>
          <w:trHeight w:val="8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9</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培训及售后方案</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37" w:type="dxa"/>
            <w:vAlign w:val="center"/>
            <w:textDirection w:val="lrTb"/>
            <w:noWrap w:val="false"/>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根据供应商提供的培训及售后服务方案，包括但不限于针对售后维护、服务计划和服务内容等，分三档进行评分：方案的内容完整、可实施性强、有效保障项目交付期，得5分；方案的内容较完整、可实施性一般、有效保障项目交付期一般的，得3分；其他情况，得1分。未提供材料不得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5</w:t>
            </w:r>
            <w:r>
              <w:rPr>
                <w:rFonts w:ascii="宋体" w:hAnsi="宋体" w:cs="宋体"/>
              </w:rPr>
            </w:r>
            <w:r/>
          </w:p>
        </w:tc>
      </w:tr>
      <w:tr>
        <w:trPr>
          <w:trHeight w:val="5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10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维保服务要求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37" w:type="dxa"/>
            <w:vAlign w:val="center"/>
            <w:textDirection w:val="lrTb"/>
            <w:noWrap w:val="false"/>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供应商需满足磋商文件维保服务要求，针对主要功能需要提供2年上门售后维保服务的承诺函加盖供应商公章。提供材料的得4分，未提供材料的不得分。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 w:type="dxa"/>
            <w:vAlign w:val="center"/>
            <w:textDirection w:val="lrTb"/>
            <w:noWrap/>
          </w:tcPr>
          <w:p>
            <w:pPr>
              <w:ind w:left="0" w:right="0" w:firstLine="0"/>
              <w:jc w:val="left"/>
              <w:spacing w:before="0" w:after="0"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2"/>
              </w:rPr>
              <w:t xml:space="preserve">4</w:t>
            </w:r>
            <w:r>
              <w:rPr>
                <w:rFonts w:ascii="宋体" w:hAnsi="宋体" w:cs="宋体"/>
              </w:rPr>
            </w:r>
            <w:r/>
          </w:p>
        </w:tc>
      </w:tr>
    </w:tbl>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br w:type="page" w:clear="all"/>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第六章 响应文件格式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响 应  文 件</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3253"/>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响应文件的组成</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1.分项报价表（格式见附件1）</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2.技术要求响应及偏离表（格式见附件2）</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3.商务要求响应及偏离表（格式见附件3）</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1.法人或者其他组织的营业执照等证明文件，自然人的身份证明</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2.上一年度的财务状况报告（供应商成立不满一年无需提供）</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3.依法缴纳税收和社会保障资金的相关材料（提供提交响应文件截止时间前一年</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内至少一个月依法缴纳税收及缴纳社会保障资金的证明材料。供应商依法享受缓缴、免缴税收、社会保障资金的提供证明材料。）</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4.具备履行合同所必需的设备和专业技术能力的书面声明（格式见附件4）</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5.参加政府采购活动前 3 年内在经营活动中没有重大违法记录的书面声明（格式</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见附件5）</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6.特定资格要求的证明文件（如果本项目对供应商做出特定资格要求的，必须提供）</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7.法人授权书（格式见附件6）</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8.响应函（格式见附件7）</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9.中小微企业声明函（如果本项目专门面向中小微型企业采购，则必须提供。格式见附件8）</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10.残疾人福利性单位声明函（如果本项目专门面向中小微型企业采购，供应商为残疾人福利性单位并提供本单位制造的货物，或者提供其他残疾人福利性单位制造的货物，则必须提供。格式见附件9）</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总备注：上述“资格审查内容”中1-5条、7、8条供应商必须在响应文件中提供</w:t>
      </w:r>
      <w:r/>
    </w:p>
    <w:p>
      <w:pPr>
        <w:ind w:left="0" w:right="0" w:firstLine="0"/>
        <w:jc w:val="both"/>
        <w:spacing w:before="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相关材料，否则作无效响应处理；6、9、10条如磋商文件要求必须提供相关材料而未提供的，作无效响应处理。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供应商必须对技术要求和商务要求中加斜体下划线的实质性要求逐条做出响应，并按照磋商文件要求提供证明材料，否则做无效响应处理。（格式见附件10）</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1.中小微企业声明函（格式见附件8）</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2.残疾人福利性单位声明函（格式见附件9）</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shd w:val="nil" w:color="auto"/>
      </w:pPr>
      <w:r>
        <w:rPr>
          <w:rFonts w:ascii="SimSun" w:hAnsi="SimSun" w:eastAsia="SimSun" w:cs="SimSun"/>
          <w:b/>
          <w:color w:val="000000"/>
          <w:sz w:val="28"/>
          <w:highlight w:val="none"/>
        </w:rPr>
        <w:br w:type="page" w:clear="all"/>
      </w:r>
      <w:r>
        <w:rPr>
          <w:rFonts w:ascii="SimSun" w:hAnsi="SimSun" w:eastAsia="SimSun" w:cs="SimSun"/>
          <w:b/>
          <w:color w:val="000000"/>
          <w:sz w:val="28"/>
          <w:highlight w:val="none"/>
        </w:rPr>
      </w:r>
      <w:r/>
    </w:p>
    <w:p>
      <w:pPr>
        <w:ind w:left="0" w:right="0" w:firstLine="0"/>
        <w:spacing w:before="0" w:after="0" w:line="360" w:lineRule="auto"/>
        <w:shd w:val="clear" w:color="ffffff" w:fill="ffffff"/>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附件1 </w:t>
      </w:r>
      <w:r/>
    </w:p>
    <w:p>
      <w:pPr>
        <w:ind w:left="0" w:right="0" w:firstLine="2811"/>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分项报价表</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1285"/>
        <w:gridCol w:w="1516"/>
        <w:gridCol w:w="1442"/>
        <w:gridCol w:w="738"/>
        <w:gridCol w:w="1233"/>
        <w:gridCol w:w="122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vMerge w:val="restart"/>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合同签</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订后</w:t>
            </w:r>
            <w:r>
              <w:rPr>
                <w:rFonts w:ascii="SimSun" w:hAnsi="SimSun" w:eastAsia="SimSun" w:cs="SimSun"/>
                <w:color w:val="000000"/>
                <w:sz w:val="18"/>
                <w:u w:val="single"/>
              </w:rPr>
              <w:t xml:space="preserve">  </w:t>
            </w:r>
            <w:r>
              <w:rPr>
                <w:rFonts w:ascii="SimSun" w:hAnsi="SimSun" w:eastAsia="SimSun" w:cs="SimSun"/>
                <w:color w:val="000000"/>
                <w:sz w:val="18"/>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0"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shd w:val="nil" w:color="auto"/>
      </w:pPr>
      <w:r>
        <w:rPr>
          <w:rFonts w:ascii="SimSun" w:hAnsi="SimSun" w:eastAsia="SimSun" w:cs="SimSun"/>
          <w:b/>
          <w:color w:val="000000"/>
          <w:sz w:val="24"/>
          <w:highlight w:val="none"/>
        </w:rPr>
        <w:br w:type="page" w:clear="all"/>
      </w:r>
      <w:r>
        <w:rPr>
          <w:rFonts w:ascii="SimSun" w:hAnsi="SimSun" w:eastAsia="SimSun" w:cs="SimSun"/>
          <w:b/>
          <w:color w:val="000000"/>
          <w:sz w:val="24"/>
          <w:highlight w:val="none"/>
        </w:rPr>
      </w:r>
      <w:r/>
    </w:p>
    <w:p>
      <w:pPr>
        <w:ind w:left="0" w:right="0" w:firstLine="0"/>
        <w:jc w:val="center"/>
        <w:spacing w:before="0" w:after="0" w:line="360" w:lineRule="auto"/>
        <w:shd w:val="clear" w:color="ffffff" w:fill="ffffff"/>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附件2 </w:t>
      </w:r>
      <w:r/>
    </w:p>
    <w:p>
      <w:pPr>
        <w:ind w:left="0" w:right="0" w:firstLine="1968"/>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968"/>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技术要求响应及偏离表</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2791"/>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附件2-1  证明材料1，证明材料2，……</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1.供应商需对技术要求（未加斜体下划线的非实质性内容）逐条做出明确响应。</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2.如果磋商文件要求提供证明材料，供应商需将证明材料列于该表之下。</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附件3</w:t>
      </w:r>
      <w:r/>
    </w:p>
    <w:p>
      <w:pPr>
        <w:ind w:left="0" w:right="0" w:firstLine="1687"/>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商务要求响应及偏离表 </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293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145"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1.供应商需对商务要求（未加斜体下划线的非实质性内容）逐条做出明确响应。</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2.如果磋商文件要求提供证明材料，供应商需将证明材料列于该表之下。</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附件4 具备履行合同所必需的设备和专业技术能力的书面声明</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声 明 </w:t>
      </w:r>
      <w:r/>
    </w:p>
    <w:p>
      <w:pPr>
        <w:ind w:left="0" w:right="0" w:firstLine="49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附件5</w:t>
      </w:r>
      <w:r>
        <w:rPr>
          <w:rFonts w:ascii="SimSun" w:hAnsi="SimSun" w:eastAsia="SimSun" w:cs="SimSun"/>
          <w:b/>
          <w:color w:val="000000"/>
          <w:sz w:val="24"/>
        </w:rPr>
        <w:t xml:space="preserve"> 参加政府采购活动前 3 年内在经营活动中没有重大违法记录的书面声明</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声 明</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92"/>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附件6                       </w:t>
      </w:r>
      <w:r/>
    </w:p>
    <w:p>
      <w:pPr>
        <w:ind w:left="0" w:right="0" w:firstLine="3614"/>
        <w:spacing w:before="0" w:after="145"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line="360" w:lineRule="auto"/>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JSZC-32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360" w:lineRule="auto"/>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360" w:lineRule="auto"/>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480"/>
        <w:jc w:val="both"/>
        <w:spacing w:before="0" w:after="0" w:line="360" w:lineRule="auto"/>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480"/>
        <w:jc w:val="both"/>
        <w:spacing w:before="0" w:after="0" w:line="360" w:lineRule="auto"/>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360" w:lineRule="auto"/>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0" w:after="0" w:line="360" w:lineRule="auto"/>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80"/>
        <w:jc w:val="both"/>
        <w:spacing w:before="0" w:after="0" w:line="360" w:lineRule="auto"/>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附件7                        </w:t>
      </w:r>
      <w:r/>
    </w:p>
    <w:p>
      <w:pPr>
        <w:ind w:left="0" w:right="0" w:firstLine="3915"/>
        <w:jc w:val="both"/>
        <w:spacing w:before="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磋商响应函</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致：泰州市海陵区政务服务中心</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1.按磋商文件规定的各项要求，向买方提供所需货物、服务（包含与货物相关的服务及与服务相关的货物）。</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附件8</w:t>
      </w:r>
      <w:r>
        <w:rPr>
          <w:rFonts w:ascii="SimSun" w:hAnsi="SimSun" w:eastAsia="SimSun" w:cs="SimSun"/>
          <w:b/>
          <w:color w:val="000000"/>
          <w:sz w:val="24"/>
        </w:rPr>
        <w:t xml:space="preserve"> </w:t>
      </w:r>
      <w:r/>
    </w:p>
    <w:p>
      <w:pPr>
        <w:ind w:left="0" w:right="0" w:firstLine="1205"/>
        <w:spacing w:before="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中小微企业声明函</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本公司（联合体）郑重声明，根据《政府采购促进中小企业发展管理办法》(财库[2020]46号)的规定，本公司（联合体）参加泰州市海陵区政务服务中心组织的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17"/>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6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17"/>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5"/>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25"/>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360"/>
        <w:jc w:val="right"/>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540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3.供应商自行勾选承接企业的企业规模类型。</w:t>
        <w:br w:type="page" w:clear="all"/>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附件9 </w:t>
      </w:r>
      <w:r/>
    </w:p>
    <w:p>
      <w:pPr>
        <w:ind w:left="0" w:right="0" w:firstLine="904"/>
        <w:jc w:val="both"/>
        <w:spacing w:before="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残疾人福利性单位声明函</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非专门面向中小微型企业采购的项目，供应商如不提供此声明函，价格将不做相应扣除。</w:t>
      </w:r>
      <w:r/>
    </w:p>
    <w:p>
      <w:pPr>
        <w:ind w:left="0" w:right="0" w:firstLine="48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center"/>
        <w:spacing w:before="0" w:after="0" w:line="360" w:lineRule="auto"/>
        <w:shd w:val="clear" w:color="ffffff" w:fill="ffffff"/>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0" w:firstLine="480"/>
        <w:jc w:val="center"/>
        <w:spacing w:before="0" w:after="0" w:line="360" w:lineRule="auto"/>
        <w:shd w:val="clear" w:color="ffffff" w:fill="ffffff"/>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Times New Roman" w:hAnsi="Times New Roman" w:eastAsia="Times New Roman" w:cs="Times New Roman"/>
          <w:color w:val="000000"/>
          <w:sz w:val="20"/>
        </w:rPr>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w:t>
      </w:r>
      <w:r/>
    </w:p>
    <w:p>
      <w:pPr>
        <w:ind w:left="0" w:right="0" w:firstLine="1807"/>
        <w:spacing w:before="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实质性要求响应及偏离表 </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i/>
                <w:color w:val="000000"/>
                <w:sz w:val="24"/>
                <w:u w:val="single"/>
              </w:rPr>
              <w:t xml:space="preserve">（加斜体下划线内容）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附件11-1 证明材料1，证明材料2，……</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1.供应商必须对技术要求和商务要求中的实质性要求</w:t>
      </w:r>
      <w:r>
        <w:rPr>
          <w:rFonts w:ascii="SimSun" w:hAnsi="SimSun" w:eastAsia="SimSun" w:cs="SimSun"/>
          <w:i/>
          <w:color w:val="000000"/>
          <w:sz w:val="24"/>
          <w:u w:val="single"/>
        </w:rPr>
        <w:t xml:space="preserve">（加斜体下划线内容）</w:t>
      </w:r>
      <w:r>
        <w:rPr>
          <w:rFonts w:ascii="SimSun" w:hAnsi="SimSun" w:eastAsia="SimSun" w:cs="SimSun"/>
          <w:color w:val="000000"/>
          <w:sz w:val="24"/>
        </w:rPr>
        <w:t xml:space="preserve">逐条做出明确响应，否则做无效响应处理。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2.如果磋商文件要求提供证明材料，供应商必须将证明材料列于该表之下。</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3.供应商未对实质性要求逐条作出明确响应的，或未按磋商文件要求提供证明材料的，该分包作无效响应处理。</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rPr>
        <w:t xml:space="preserve"> </w:t>
      </w:r>
      <w:r/>
    </w:p>
    <w:p>
      <w:pPr>
        <w:ind w:left="0" w:right="0" w:firstLine="0"/>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4961"/>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spacing w:line="360" w:lineRule="auto"/>
      </w:p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FangSong">
    <w:panose1 w:val="02010609060101010101"/>
  </w:font>
  <w:font w:name="SimHei">
    <w:panose1 w:val="02010609060101010101"/>
  </w:font>
  <w:font w:name="Microsoft YaHei">
    <w:panose1 w:val="020B0503020204020204"/>
  </w:font>
  <w:font w:name="Times New Roman">
    <w:panose1 w:val="02020603050405020304"/>
  </w:font>
  <w:font w:name="SimSun">
    <w:panose1 w:val="02010600030101010101"/>
  </w:font>
  <w:font w:name="宋体">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b/>
        <w:sz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ascii="宋体" w:hAnsi="宋体" w:eastAsia="宋体" w:cs="宋体"/>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name w:val="Heading 1"/>
    <w:link w:val="665"/>
    <w:uiPriority w:val="9"/>
    <w:qFormat/>
    <w:pPr>
      <w:keepLines/>
      <w:keepNext/>
      <w:spacing w:before="480" w:after="200"/>
      <w:outlineLvl w:val="0"/>
    </w:pPr>
    <w:rPr>
      <w:rFonts w:ascii="Arial" w:hAnsi="Arial" w:eastAsia="Arial" w:cs="Arial"/>
      <w:sz w:val="40"/>
      <w:szCs w:val="40"/>
    </w:rPr>
  </w:style>
  <w:style w:type="character" w:styleId="665">
    <w:name w:val="Heading 1 Char"/>
    <w:link w:val="664"/>
    <w:uiPriority w:val="9"/>
    <w:rPr>
      <w:rFonts w:ascii="Arial" w:hAnsi="Arial" w:eastAsia="Arial" w:cs="Arial"/>
      <w:sz w:val="40"/>
      <w:szCs w:val="40"/>
    </w:rPr>
  </w:style>
  <w:style w:type="paragraph" w:styleId="666">
    <w:name w:val="Heading 2"/>
    <w:link w:val="667"/>
    <w:uiPriority w:val="9"/>
    <w:unhideWhenUsed/>
    <w:qFormat/>
    <w:pPr>
      <w:keepLines/>
      <w:keepNext/>
      <w:spacing w:before="360" w:after="200"/>
      <w:outlineLvl w:val="1"/>
    </w:pPr>
    <w:rPr>
      <w:rFonts w:ascii="Arial" w:hAnsi="Arial" w:eastAsia="Arial" w:cs="Arial"/>
      <w:sz w:val="34"/>
    </w:rPr>
  </w:style>
  <w:style w:type="character" w:styleId="667">
    <w:name w:val="Heading 2 Char"/>
    <w:link w:val="666"/>
    <w:uiPriority w:val="9"/>
    <w:rPr>
      <w:rFonts w:ascii="Arial" w:hAnsi="Arial" w:eastAsia="Arial" w:cs="Arial"/>
      <w:sz w:val="34"/>
    </w:rPr>
  </w:style>
  <w:style w:type="paragraph" w:styleId="668">
    <w:name w:val="Heading 3"/>
    <w:link w:val="669"/>
    <w:uiPriority w:val="9"/>
    <w:unhideWhenUsed/>
    <w:qFormat/>
    <w:pPr>
      <w:keepLines/>
      <w:keepNext/>
      <w:spacing w:before="320" w:after="200"/>
      <w:outlineLvl w:val="2"/>
    </w:pPr>
    <w:rPr>
      <w:rFonts w:ascii="Arial" w:hAnsi="Arial" w:eastAsia="Arial" w:cs="Arial"/>
      <w:sz w:val="30"/>
      <w:szCs w:val="30"/>
    </w:rPr>
  </w:style>
  <w:style w:type="character" w:styleId="669">
    <w:name w:val="Heading 3 Char"/>
    <w:link w:val="668"/>
    <w:uiPriority w:val="9"/>
    <w:rPr>
      <w:rFonts w:ascii="Arial" w:hAnsi="Arial" w:eastAsia="Arial" w:cs="Arial"/>
      <w:sz w:val="30"/>
      <w:szCs w:val="30"/>
    </w:rPr>
  </w:style>
  <w:style w:type="paragraph" w:styleId="670">
    <w:name w:val="Heading 4"/>
    <w:link w:val="671"/>
    <w:uiPriority w:val="9"/>
    <w:unhideWhenUsed/>
    <w:qFormat/>
    <w:pPr>
      <w:keepLines/>
      <w:keepNext/>
      <w:spacing w:before="320" w:after="200"/>
      <w:outlineLvl w:val="3"/>
    </w:pPr>
    <w:rPr>
      <w:rFonts w:ascii="Arial" w:hAnsi="Arial" w:eastAsia="Arial" w:cs="Arial"/>
      <w:b/>
      <w:bCs/>
      <w:sz w:val="26"/>
      <w:szCs w:val="26"/>
    </w:rPr>
  </w:style>
  <w:style w:type="character" w:styleId="671">
    <w:name w:val="Heading 4 Char"/>
    <w:link w:val="670"/>
    <w:uiPriority w:val="9"/>
    <w:rPr>
      <w:rFonts w:ascii="Arial" w:hAnsi="Arial" w:eastAsia="Arial" w:cs="Arial"/>
      <w:b/>
      <w:bCs/>
      <w:sz w:val="26"/>
      <w:szCs w:val="26"/>
    </w:rPr>
  </w:style>
  <w:style w:type="paragraph" w:styleId="672">
    <w:name w:val="Heading 5"/>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link w:val="672"/>
    <w:uiPriority w:val="9"/>
    <w:rPr>
      <w:rFonts w:ascii="Arial" w:hAnsi="Arial" w:eastAsia="Arial" w:cs="Arial"/>
      <w:b/>
      <w:bCs/>
      <w:sz w:val="24"/>
      <w:szCs w:val="24"/>
    </w:rPr>
  </w:style>
  <w:style w:type="paragraph" w:styleId="674">
    <w:name w:val="Heading 6"/>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link w:val="674"/>
    <w:uiPriority w:val="9"/>
    <w:rPr>
      <w:rFonts w:ascii="Arial" w:hAnsi="Arial" w:eastAsia="Arial" w:cs="Arial"/>
      <w:b/>
      <w:bCs/>
      <w:sz w:val="22"/>
      <w:szCs w:val="22"/>
    </w:rPr>
  </w:style>
  <w:style w:type="paragraph" w:styleId="676">
    <w:name w:val="Heading 7"/>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link w:val="676"/>
    <w:uiPriority w:val="9"/>
    <w:rPr>
      <w:rFonts w:ascii="Arial" w:hAnsi="Arial" w:eastAsia="Arial" w:cs="Arial"/>
      <w:b/>
      <w:bCs/>
      <w:i/>
      <w:iCs/>
      <w:sz w:val="22"/>
      <w:szCs w:val="22"/>
    </w:rPr>
  </w:style>
  <w:style w:type="paragraph" w:styleId="678">
    <w:name w:val="Heading 8"/>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link w:val="678"/>
    <w:uiPriority w:val="9"/>
    <w:rPr>
      <w:rFonts w:ascii="Arial" w:hAnsi="Arial" w:eastAsia="Arial" w:cs="Arial"/>
      <w:i/>
      <w:iCs/>
      <w:sz w:val="22"/>
      <w:szCs w:val="22"/>
    </w:rPr>
  </w:style>
  <w:style w:type="paragraph" w:styleId="680">
    <w:name w:val="Heading 9"/>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link w:val="680"/>
    <w:uiPriority w:val="9"/>
    <w:rPr>
      <w:rFonts w:ascii="Arial" w:hAnsi="Arial" w:eastAsia="Arial" w:cs="Arial"/>
      <w:i/>
      <w:iCs/>
      <w:sz w:val="21"/>
      <w:szCs w:val="21"/>
    </w:rPr>
  </w:style>
  <w:style w:type="paragraph" w:styleId="682">
    <w:name w:val="List Paragraph"/>
    <w:uiPriority w:val="34"/>
    <w:qFormat/>
    <w:pPr>
      <w:contextualSpacing/>
      <w:ind w:left="720"/>
    </w:pPr>
  </w:style>
  <w:style w:type="paragraph" w:styleId="683">
    <w:name w:val="No Spacing"/>
    <w:uiPriority w:val="1"/>
    <w:qFormat/>
    <w:pPr>
      <w:spacing w:before="0" w:after="0" w:line="240" w:lineRule="auto"/>
    </w:pPr>
  </w:style>
  <w:style w:type="paragraph" w:styleId="684">
    <w:name w:val="Title"/>
    <w:link w:val="685"/>
    <w:uiPriority w:val="10"/>
    <w:qFormat/>
    <w:pPr>
      <w:contextualSpacing/>
      <w:spacing w:before="300" w:after="200"/>
    </w:pPr>
    <w:rPr>
      <w:sz w:val="48"/>
      <w:szCs w:val="48"/>
    </w:rPr>
  </w:style>
  <w:style w:type="character" w:styleId="685">
    <w:name w:val="Title Char"/>
    <w:link w:val="684"/>
    <w:uiPriority w:val="10"/>
    <w:rPr>
      <w:sz w:val="48"/>
      <w:szCs w:val="48"/>
    </w:rPr>
  </w:style>
  <w:style w:type="paragraph" w:styleId="686">
    <w:name w:val="Subtitle"/>
    <w:link w:val="687"/>
    <w:uiPriority w:val="11"/>
    <w:qFormat/>
    <w:pPr>
      <w:spacing w:before="200" w:after="200"/>
    </w:pPr>
    <w:rPr>
      <w:sz w:val="24"/>
      <w:szCs w:val="24"/>
    </w:rPr>
  </w:style>
  <w:style w:type="character" w:styleId="687">
    <w:name w:val="Subtitle Char"/>
    <w:link w:val="686"/>
    <w:uiPriority w:val="11"/>
    <w:rPr>
      <w:sz w:val="24"/>
      <w:szCs w:val="24"/>
    </w:rPr>
  </w:style>
  <w:style w:type="paragraph" w:styleId="688">
    <w:name w:val="Quote"/>
    <w:link w:val="689"/>
    <w:uiPriority w:val="29"/>
    <w:qFormat/>
    <w:pPr>
      <w:ind w:left="720" w:right="720"/>
    </w:pPr>
    <w:rPr>
      <w:i/>
    </w:rPr>
  </w:style>
  <w:style w:type="character" w:styleId="689">
    <w:name w:val="Quote Char"/>
    <w:link w:val="688"/>
    <w:uiPriority w:val="29"/>
    <w:rPr>
      <w:i/>
    </w:rPr>
  </w:style>
  <w:style w:type="paragraph" w:styleId="690">
    <w:name w:val="Intense Quote"/>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paragraph" w:styleId="692">
    <w:name w:val="Header"/>
    <w:link w:val="693"/>
    <w:uiPriority w:val="99"/>
    <w:unhideWhenUsed/>
    <w:pPr>
      <w:spacing w:after="0" w:line="240" w:lineRule="auto"/>
      <w:tabs>
        <w:tab w:val="center" w:pos="7143" w:leader="none"/>
        <w:tab w:val="right" w:pos="14287" w:leader="none"/>
      </w:tabs>
    </w:pPr>
  </w:style>
  <w:style w:type="character" w:styleId="693">
    <w:name w:val="Header Char"/>
    <w:link w:val="692"/>
    <w:uiPriority w:val="99"/>
  </w:style>
  <w:style w:type="paragraph" w:styleId="694">
    <w:name w:val="Footer"/>
    <w:link w:val="697"/>
    <w:uiPriority w:val="99"/>
    <w:unhideWhenUsed/>
    <w:pPr>
      <w:spacing w:after="0" w:line="240" w:lineRule="auto"/>
      <w:tabs>
        <w:tab w:val="center" w:pos="7143" w:leader="none"/>
        <w:tab w:val="right" w:pos="14287" w:leader="none"/>
      </w:tabs>
    </w:pPr>
  </w:style>
  <w:style w:type="character" w:styleId="695">
    <w:name w:val="Footer Char"/>
    <w:link w:val="694"/>
    <w:uiPriority w:val="99"/>
  </w:style>
  <w:style w:type="paragraph" w:styleId="696">
    <w:name w:val="Caption"/>
    <w:uiPriority w:val="35"/>
    <w:semiHidden/>
    <w:unhideWhenUsed/>
    <w:qFormat/>
    <w:pPr>
      <w:spacing w:line="276" w:lineRule="auto"/>
    </w:pPr>
    <w:rPr>
      <w:b/>
      <w:bCs/>
      <w:color w:val="4f81bd" w:themeColor="accent1"/>
      <w:sz w:val="18"/>
      <w:szCs w:val="18"/>
    </w:rPr>
  </w:style>
  <w:style w:type="character" w:styleId="697">
    <w:name w:val="Caption Char"/>
    <w:basedOn w:val="696"/>
    <w:link w:val="694"/>
    <w:uiPriority w:val="99"/>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4">
    <w:name w:val="Hyperlink"/>
    <w:uiPriority w:val="99"/>
    <w:unhideWhenUsed/>
    <w:rPr>
      <w:color w:val="0000ff" w:themeColor="hyperlink"/>
      <w:u w:val="single"/>
    </w:rPr>
  </w:style>
  <w:style w:type="paragraph" w:styleId="825">
    <w:name w:val="footnote text"/>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uiPriority w:val="99"/>
    <w:unhideWhenUsed/>
    <w:rPr>
      <w:vertAlign w:val="superscript"/>
    </w:rPr>
  </w:style>
  <w:style w:type="paragraph" w:styleId="828">
    <w:name w:val="endnote text"/>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uiPriority w:val="99"/>
    <w:semiHidden/>
    <w:unhideWhenUsed/>
    <w:rPr>
      <w:vertAlign w:val="superscript"/>
    </w:rPr>
  </w:style>
  <w:style w:type="paragraph" w:styleId="831">
    <w:name w:val="toc 1"/>
    <w:uiPriority w:val="39"/>
    <w:unhideWhenUsed/>
    <w:pPr>
      <w:ind w:left="0" w:right="0" w:firstLine="0"/>
      <w:spacing w:after="57"/>
    </w:pPr>
  </w:style>
  <w:style w:type="paragraph" w:styleId="832">
    <w:name w:val="toc 2"/>
    <w:uiPriority w:val="39"/>
    <w:unhideWhenUsed/>
    <w:pPr>
      <w:ind w:left="283" w:right="0" w:firstLine="0"/>
      <w:spacing w:after="57"/>
    </w:pPr>
  </w:style>
  <w:style w:type="paragraph" w:styleId="833">
    <w:name w:val="toc 3"/>
    <w:uiPriority w:val="39"/>
    <w:unhideWhenUsed/>
    <w:pPr>
      <w:ind w:left="567" w:right="0" w:firstLine="0"/>
      <w:spacing w:after="57"/>
    </w:pPr>
  </w:style>
  <w:style w:type="paragraph" w:styleId="834">
    <w:name w:val="toc 4"/>
    <w:uiPriority w:val="39"/>
    <w:unhideWhenUsed/>
    <w:pPr>
      <w:ind w:left="850" w:right="0" w:firstLine="0"/>
      <w:spacing w:after="57"/>
    </w:pPr>
  </w:style>
  <w:style w:type="paragraph" w:styleId="835">
    <w:name w:val="toc 5"/>
    <w:uiPriority w:val="39"/>
    <w:unhideWhenUsed/>
    <w:pPr>
      <w:ind w:left="1134" w:right="0" w:firstLine="0"/>
      <w:spacing w:after="57"/>
    </w:pPr>
  </w:style>
  <w:style w:type="paragraph" w:styleId="836">
    <w:name w:val="toc 6"/>
    <w:uiPriority w:val="39"/>
    <w:unhideWhenUsed/>
    <w:pPr>
      <w:ind w:left="1417" w:right="0" w:firstLine="0"/>
      <w:spacing w:after="57"/>
    </w:pPr>
  </w:style>
  <w:style w:type="paragraph" w:styleId="837">
    <w:name w:val="toc 7"/>
    <w:uiPriority w:val="39"/>
    <w:unhideWhenUsed/>
    <w:pPr>
      <w:ind w:left="1701" w:right="0" w:firstLine="0"/>
      <w:spacing w:after="57"/>
    </w:pPr>
  </w:style>
  <w:style w:type="paragraph" w:styleId="838">
    <w:name w:val="toc 8"/>
    <w:uiPriority w:val="39"/>
    <w:unhideWhenUsed/>
    <w:pPr>
      <w:ind w:left="1984" w:right="0" w:firstLine="0"/>
      <w:spacing w:after="57"/>
    </w:pPr>
  </w:style>
  <w:style w:type="paragraph" w:styleId="839">
    <w:name w:val="toc 9"/>
    <w:uiPriority w:val="39"/>
    <w:unhideWhenUsed/>
    <w:pPr>
      <w:ind w:left="2268" w:right="0" w:firstLine="0"/>
      <w:spacing w:after="57"/>
    </w:pPr>
  </w:style>
  <w:style w:type="paragraph" w:styleId="840">
    <w:name w:val="TOC Heading"/>
    <w:uiPriority w:val="39"/>
    <w:unhideWhenUsed/>
  </w:style>
  <w:style w:type="paragraph" w:styleId="841">
    <w:name w:val="table of figures"/>
    <w:uiPriority w:val="99"/>
    <w:unhideWhenUsed/>
    <w:pPr>
      <w:spacing w:after="0" w:afterAutospacing="0"/>
    </w:pPr>
  </w:style>
  <w:style w:type="character" w:styleId="842" w:default="1">
    <w:name w:val="Default Paragraph Font"/>
    <w:uiPriority w:val="1"/>
    <w:semiHidden/>
    <w:unhideWhenUsed/>
  </w:style>
  <w:style w:type="numbering" w:styleId="843" w:default="1">
    <w:name w:val="No List"/>
    <w:uiPriority w:val="99"/>
    <w:semiHidden/>
    <w:unhideWhenUsed/>
  </w:style>
  <w:style w:type="paragraph" w:styleId="844" w:default="1">
    <w:name w:val="Normal"/>
    <w:qFormat/>
  </w:style>
  <w:style w:type="table" w:styleId="8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阚允文</cp:lastModifiedBy>
  <cp:revision>6</cp:revision>
  <dcterms:created xsi:type="dcterms:W3CDTF">2025-11-17T02:32:48Z</dcterms:created>
  <dcterms:modified xsi:type="dcterms:W3CDTF">2025-11-19T03:18:32Z</dcterms:modified>
</cp:coreProperties>
</file>